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1A36CA">
      <w:pPr>
        <w:tabs>
          <w:tab w:val="center" w:pos="4536"/>
          <w:tab w:val="right" w:pos="7938"/>
          <w:tab w:val="right" w:pos="9639"/>
        </w:tabs>
        <w:ind w:right="2"/>
        <w:rPr>
          <w:rFonts w:hint="default" w:ascii="Times New Roman Bold" w:hAnsi="Times New Roman Bold" w:cs="Times New Roman Bold"/>
          <w:b/>
          <w:bCs/>
        </w:rPr>
      </w:pPr>
      <w:bookmarkStart w:id="0" w:name="_Hlk145670493"/>
      <w:r>
        <w:rPr>
          <w:rFonts w:hint="default" w:ascii="Times New Roman Bold" w:hAnsi="Times New Roman Bold" w:cs="Times New Roman Bold"/>
          <w:b/>
          <w:bCs/>
        </w:rPr>
        <w:t>3GPP TSG RAN WG1 #118bis</w:t>
      </w:r>
      <w:r>
        <w:rPr>
          <w:rFonts w:hint="default" w:ascii="Times New Roman Bold" w:hAnsi="Times New Roman Bold" w:cs="Times New Roman Bold"/>
          <w:b/>
          <w:bCs/>
        </w:rPr>
        <w:tab/>
      </w:r>
      <w:r>
        <w:rPr>
          <w:rFonts w:hint="default" w:ascii="Times New Roman Bold" w:hAnsi="Times New Roman Bold" w:cs="Times New Roman Bold"/>
          <w:b/>
          <w:bCs/>
        </w:rPr>
        <w:tab/>
      </w:r>
      <w:r>
        <w:rPr>
          <w:rFonts w:hint="default" w:ascii="Times New Roman Bold" w:hAnsi="Times New Roman Bold" w:cs="Times New Roman Bold"/>
          <w:b/>
          <w:bCs/>
        </w:rPr>
        <w:tab/>
      </w:r>
      <w:r>
        <w:rPr>
          <w:rFonts w:hint="default" w:ascii="Times New Roman Bold" w:hAnsi="Times New Roman Bold" w:cs="Times New Roman Bold"/>
          <w:b/>
          <w:bCs/>
        </w:rPr>
        <w:t>R1-2400841</w:t>
      </w:r>
    </w:p>
    <w:bookmarkEnd w:id="0"/>
    <w:p w14:paraId="7BB48B64">
      <w:pPr>
        <w:tabs>
          <w:tab w:val="center" w:pos="4536"/>
          <w:tab w:val="right" w:pos="9072"/>
        </w:tabs>
        <w:rPr>
          <w:rFonts w:hint="default" w:ascii="Times New Roman Bold" w:hAnsi="Times New Roman Bold" w:eastAsia="MS Mincho" w:cs="Times New Roman Bold"/>
          <w:b/>
          <w:bCs/>
          <w:lang w:eastAsia="ja-JP"/>
        </w:rPr>
      </w:pPr>
      <w:r>
        <w:rPr>
          <w:rFonts w:hint="default" w:ascii="Times New Roman Bold" w:hAnsi="Times New Roman Bold" w:eastAsia="MS Mincho" w:cs="Times New Roman Bold"/>
          <w:b/>
          <w:bCs/>
          <w:lang w:eastAsia="ja-JP"/>
        </w:rPr>
        <w:t>Hefei, China, October 14</w:t>
      </w:r>
      <w:r>
        <w:rPr>
          <w:rFonts w:hint="default" w:ascii="Times New Roman Bold" w:hAnsi="Times New Roman Bold" w:eastAsia="Malgun Gothic" w:cs="Times New Roman Bold"/>
          <w:b/>
          <w:bCs/>
          <w:vertAlign w:val="superscript"/>
          <w:lang w:eastAsia="ko-KR"/>
        </w:rPr>
        <w:t>th</w:t>
      </w:r>
      <w:r>
        <w:rPr>
          <w:rFonts w:hint="default" w:ascii="Times New Roman Bold" w:hAnsi="Times New Roman Bold" w:eastAsia="MS Mincho" w:cs="Times New Roman Bold"/>
          <w:b/>
          <w:bCs/>
          <w:lang w:eastAsia="ja-JP"/>
        </w:rPr>
        <w:t xml:space="preserve"> </w:t>
      </w:r>
      <w:r>
        <w:rPr>
          <w:rFonts w:hint="default" w:ascii="Times New Roman Bold" w:hAnsi="Times New Roman Bold" w:cs="Times New Roman Bold"/>
          <w:b/>
          <w:bCs/>
        </w:rPr>
        <w:t>– 18</w:t>
      </w:r>
      <w:r>
        <w:rPr>
          <w:rFonts w:hint="default" w:ascii="Times New Roman Bold" w:hAnsi="Times New Roman Bold" w:cs="Times New Roman Bold"/>
          <w:b/>
          <w:bCs/>
          <w:vertAlign w:val="superscript"/>
        </w:rPr>
        <w:t>th</w:t>
      </w:r>
      <w:r>
        <w:rPr>
          <w:rFonts w:hint="default" w:ascii="Times New Roman Bold" w:hAnsi="Times New Roman Bold" w:eastAsia="MS Mincho" w:cs="Times New Roman Bold"/>
          <w:b/>
          <w:bCs/>
          <w:lang w:eastAsia="ja-JP"/>
        </w:rPr>
        <w:t>, 2024</w:t>
      </w:r>
    </w:p>
    <w:p w14:paraId="35837487">
      <w:pPr>
        <w:tabs>
          <w:tab w:val="right" w:pos="9216"/>
        </w:tabs>
        <w:autoSpaceDE w:val="0"/>
        <w:autoSpaceDN w:val="0"/>
        <w:adjustRightInd w:val="0"/>
        <w:snapToGrid w:val="0"/>
        <w:rPr>
          <w:rFonts w:hint="default" w:ascii="Times New Roman Bold" w:hAnsi="Times New Roman Bold" w:eastAsia="宋体" w:cs="Times New Roman Bold"/>
          <w:b/>
        </w:rPr>
      </w:pPr>
    </w:p>
    <w:p w14:paraId="722487EB">
      <w:pPr>
        <w:tabs>
          <w:tab w:val="left" w:pos="1985"/>
        </w:tabs>
        <w:ind w:left="1985" w:hanging="1985"/>
        <w:rPr>
          <w:rFonts w:hint="default" w:ascii="Times New Roman Bold" w:hAnsi="Times New Roman Bold" w:cs="Times New Roman Bold"/>
          <w:b/>
          <w:bCs/>
        </w:rPr>
      </w:pPr>
      <w:r>
        <w:rPr>
          <w:rFonts w:hint="default" w:ascii="Times New Roman Bold" w:hAnsi="Times New Roman Bold" w:cs="Times New Roman Bold"/>
          <w:b/>
          <w:bCs/>
        </w:rPr>
        <w:t>Agenda item:</w:t>
      </w:r>
      <w:r>
        <w:rPr>
          <w:rFonts w:hint="default" w:ascii="Times New Roman Bold" w:hAnsi="Times New Roman Bold" w:cs="Times New Roman Bold"/>
          <w:b/>
          <w:bCs/>
        </w:rPr>
        <w:tab/>
      </w:r>
      <w:r>
        <w:rPr>
          <w:rFonts w:hint="default" w:ascii="Times New Roman Bold" w:hAnsi="Times New Roman Bold" w:cs="Times New Roman Bold"/>
          <w:b/>
          <w:bCs/>
        </w:rPr>
        <w:t>9.8.1</w:t>
      </w:r>
    </w:p>
    <w:p w14:paraId="7E7F2D5D">
      <w:pPr>
        <w:tabs>
          <w:tab w:val="left" w:pos="1985"/>
        </w:tabs>
        <w:ind w:left="1985" w:hanging="1985"/>
        <w:rPr>
          <w:rFonts w:hint="default" w:ascii="Times New Roman Bold" w:hAnsi="Times New Roman Bold" w:cs="Times New Roman Bold"/>
          <w:b/>
          <w:bCs/>
        </w:rPr>
      </w:pPr>
      <w:r>
        <w:rPr>
          <w:rFonts w:hint="default" w:ascii="Times New Roman Bold" w:hAnsi="Times New Roman Bold" w:cs="Times New Roman Bold"/>
          <w:b/>
          <w:bCs/>
        </w:rPr>
        <w:t>Source:</w:t>
      </w:r>
      <w:r>
        <w:rPr>
          <w:rFonts w:hint="default" w:ascii="Times New Roman Bold" w:hAnsi="Times New Roman Bold" w:cs="Times New Roman Bold"/>
          <w:b/>
          <w:bCs/>
        </w:rPr>
        <w:tab/>
      </w:r>
      <w:r>
        <w:rPr>
          <w:rFonts w:hint="default" w:ascii="Times New Roman Bold" w:hAnsi="Times New Roman Bold" w:cs="Times New Roman Bold"/>
          <w:b/>
          <w:bCs/>
        </w:rPr>
        <w:t>Southeast University, Purple Mountain Laboratories, China Telecom</w:t>
      </w:r>
    </w:p>
    <w:p w14:paraId="6FFC57AC">
      <w:pPr>
        <w:tabs>
          <w:tab w:val="left" w:pos="1985"/>
        </w:tabs>
        <w:ind w:left="1985" w:hanging="1985"/>
        <w:rPr>
          <w:rFonts w:hint="default" w:ascii="Times New Roman Bold" w:hAnsi="Times New Roman Bold" w:cs="Times New Roman Bold"/>
          <w:b/>
          <w:bCs/>
        </w:rPr>
      </w:pPr>
      <w:r>
        <w:rPr>
          <w:rFonts w:hint="default" w:ascii="Times New Roman Bold" w:hAnsi="Times New Roman Bold" w:cs="Times New Roman Bold"/>
          <w:b/>
          <w:bCs/>
        </w:rPr>
        <w:t>Title:</w:t>
      </w:r>
      <w:r>
        <w:rPr>
          <w:rFonts w:hint="default" w:ascii="Times New Roman Bold" w:hAnsi="Times New Roman Bold" w:cs="Times New Roman Bold"/>
          <w:b/>
          <w:bCs/>
        </w:rPr>
        <w:tab/>
      </w:r>
      <w:r>
        <w:rPr>
          <w:rFonts w:hint="default" w:ascii="Times New Roman Bold" w:hAnsi="Times New Roman Bold" w:cs="Times New Roman Bold"/>
          <w:b/>
          <w:bCs/>
        </w:rPr>
        <w:t>Discussion on channel model validation of 3GPP TR 38.901 for 7-24 GHz</w:t>
      </w:r>
    </w:p>
    <w:p w14:paraId="3EBC4A4F">
      <w:pPr>
        <w:tabs>
          <w:tab w:val="left" w:pos="1985"/>
        </w:tabs>
        <w:ind w:left="1985" w:hanging="1985"/>
        <w:rPr>
          <w:rFonts w:hint="default" w:ascii="Times New Roman Bold" w:hAnsi="Times New Roman Bold" w:cs="Times New Roman Bold"/>
          <w:b/>
          <w:bCs/>
        </w:rPr>
      </w:pPr>
      <w:r>
        <w:rPr>
          <w:rFonts w:hint="default" w:ascii="Times New Roman Bold" w:hAnsi="Times New Roman Bold" w:cs="Times New Roman Bold"/>
          <w:b/>
          <w:bCs/>
        </w:rPr>
        <w:t>Document for:</w:t>
      </w:r>
      <w:r>
        <w:rPr>
          <w:rFonts w:hint="default" w:ascii="Times New Roman Bold" w:hAnsi="Times New Roman Bold" w:cs="Times New Roman Bold"/>
          <w:b/>
          <w:bCs/>
        </w:rPr>
        <w:tab/>
      </w:r>
      <w:r>
        <w:rPr>
          <w:rFonts w:hint="default" w:ascii="Times New Roman Bold" w:hAnsi="Times New Roman Bold" w:cs="Times New Roman Bold"/>
          <w:b/>
          <w:bCs/>
        </w:rPr>
        <w:t>Discussion</w:t>
      </w:r>
    </w:p>
    <w:p w14:paraId="520865D4">
      <w:pPr>
        <w:pStyle w:val="2"/>
        <w:numPr>
          <w:ilvl w:val="0"/>
          <w:numId w:val="1"/>
        </w:numPr>
        <w:pBdr>
          <w:top w:val="single" w:color="auto" w:sz="4" w:space="3"/>
        </w:pBdr>
        <w:rPr>
          <w:rFonts w:hint="default" w:ascii="Times New Roman" w:hAnsi="Times New Roman" w:cs="Times New Roman"/>
          <w:b w:val="0"/>
          <w:bCs/>
        </w:rPr>
      </w:pPr>
      <w:bookmarkStart w:id="1" w:name="_Ref124589705"/>
      <w:bookmarkStart w:id="2" w:name="_Ref129681862"/>
      <w:r>
        <w:rPr>
          <w:rFonts w:hint="default" w:ascii="Times New Roman" w:hAnsi="Times New Roman" w:cs="Times New Roman"/>
          <w:b w:val="0"/>
          <w:bCs/>
        </w:rPr>
        <w:t>Introduction</w:t>
      </w:r>
      <w:bookmarkEnd w:id="1"/>
      <w:bookmarkEnd w:id="2"/>
    </w:p>
    <w:p w14:paraId="61F4A636">
      <w:pPr>
        <w:pBdr>
          <w:bottom w:val="none" w:color="auto" w:sz="0" w:space="0"/>
        </w:pBdr>
        <w:ind w:firstLine="300" w:firstLineChars="150"/>
        <w:rPr>
          <w:sz w:val="20"/>
          <w:szCs w:val="20"/>
        </w:rPr>
      </w:pPr>
      <w:r>
        <w:rPr>
          <w:sz w:val="20"/>
          <w:szCs w:val="20"/>
        </w:rPr>
        <w:t xml:space="preserve">In this document, </w:t>
      </w:r>
      <w:r>
        <w:rPr>
          <w:rFonts w:hint="eastAsia"/>
          <w:sz w:val="20"/>
          <w:szCs w:val="20"/>
        </w:rPr>
        <w:t>w</w:t>
      </w:r>
      <w:r>
        <w:rPr>
          <w:sz w:val="20"/>
          <w:szCs w:val="20"/>
        </w:rPr>
        <w:t xml:space="preserve">e provide our channel measurements and statistical </w:t>
      </w:r>
      <w:r>
        <w:rPr>
          <w:rFonts w:hint="eastAsia"/>
          <w:sz w:val="20"/>
          <w:szCs w:val="20"/>
        </w:rPr>
        <w:t>characteristics</w:t>
      </w:r>
      <w:r>
        <w:rPr>
          <w:sz w:val="20"/>
          <w:szCs w:val="20"/>
        </w:rPr>
        <w:t xml:space="preserve"> analys</w:t>
      </w:r>
      <w:r>
        <w:rPr>
          <w:rFonts w:hint="eastAsia"/>
          <w:sz w:val="20"/>
          <w:szCs w:val="20"/>
        </w:rPr>
        <w:t>i</w:t>
      </w:r>
      <w:r>
        <w:rPr>
          <w:sz w:val="20"/>
          <w:szCs w:val="20"/>
        </w:rPr>
        <w:t xml:space="preserve">s to follow RAN1#118 ‘7-24 GHz </w:t>
      </w:r>
      <w:r>
        <w:rPr>
          <w:rFonts w:hint="eastAsia"/>
          <w:sz w:val="20"/>
          <w:szCs w:val="20"/>
        </w:rPr>
        <w:t>c</w:t>
      </w:r>
      <w:r>
        <w:rPr>
          <w:sz w:val="20"/>
          <w:szCs w:val="20"/>
        </w:rPr>
        <w:t>hannel modeling validation’.</w:t>
      </w:r>
    </w:p>
    <w:p w14:paraId="139CEC97">
      <w:pPr>
        <w:pStyle w:val="2"/>
        <w:numPr>
          <w:ilvl w:val="0"/>
          <w:numId w:val="1"/>
        </w:numPr>
        <w:pBdr>
          <w:top w:val="single" w:color="auto" w:sz="4" w:space="3"/>
          <w:bottom w:val="none" w:color="auto" w:sz="0" w:space="0"/>
        </w:pBdr>
        <w:ind w:left="1134" w:leftChars="0" w:hanging="1134" w:firstLineChars="0"/>
        <w:rPr>
          <w:rFonts w:hint="default" w:ascii="Times New Roman Regular" w:hAnsi="Times New Roman Regular" w:cs="Times New Roman Regular"/>
        </w:rPr>
      </w:pPr>
      <w:r>
        <w:rPr>
          <w:rFonts w:hint="default" w:ascii="Times New Roman Regular" w:hAnsi="Times New Roman Regular" w:cs="Times New Roman Regular"/>
        </w:rPr>
        <w:t>Discussion</w:t>
      </w:r>
    </w:p>
    <w:p w14:paraId="0C22C42C">
      <w:pPr>
        <w:pStyle w:val="4"/>
        <w:rPr>
          <w:rFonts w:hint="default" w:ascii="Times New Roman Regular" w:hAnsi="Times New Roman Regular" w:cs="Times New Roman Regular"/>
        </w:rPr>
      </w:pPr>
      <w:r>
        <w:rPr>
          <w:rFonts w:hint="default" w:ascii="Times New Roman Regular" w:hAnsi="Times New Roman Regular" w:cs="Times New Roman Regular"/>
        </w:rPr>
        <w:t>2.1</w:t>
      </w:r>
      <w:r>
        <w:rPr>
          <w:rFonts w:hint="eastAsia" w:ascii="Times New Roman Regular" w:hAnsi="Times New Roman Regular" w:eastAsia="SimSun" w:cs="Times New Roman Regular"/>
          <w:lang w:val="en-US" w:eastAsia="zh-CN"/>
        </w:rPr>
        <w:t xml:space="preserve"> </w:t>
      </w:r>
      <w:r>
        <w:rPr>
          <w:rFonts w:hint="default" w:ascii="Times New Roman Regular" w:hAnsi="Times New Roman Regular" w:cs="Times New Roman Regular"/>
        </w:rPr>
        <w:t>Channel measurements</w:t>
      </w:r>
      <w:r>
        <w:rPr>
          <w:rFonts w:hint="default" w:ascii="Times New Roman Regular" w:hAnsi="Times New Roman Regular" w:eastAsia="宋体" w:cs="Times New Roman Regular"/>
          <w:lang w:val="en-US"/>
        </w:rPr>
        <w:t xml:space="preserve"> </w:t>
      </w:r>
    </w:p>
    <w:p w14:paraId="12DE0952">
      <w:pPr>
        <w:ind w:firstLine="200" w:firstLineChars="100"/>
        <w:rPr>
          <w:rFonts w:cs="Times New Roman"/>
          <w:sz w:val="20"/>
          <w:szCs w:val="20"/>
          <w:lang w:val="en-GB"/>
        </w:rPr>
      </w:pPr>
      <w:r>
        <w:rPr>
          <w:rFonts w:cs="Times New Roman"/>
          <w:sz w:val="20"/>
          <w:szCs w:val="20"/>
          <w:lang w:val="en-GB"/>
        </w:rPr>
        <w:t>The multi-frequency channel measurements are conducted</w:t>
      </w:r>
      <w:r>
        <w:rPr>
          <w:rFonts w:hint="eastAsia" w:cs="Times New Roman"/>
          <w:sz w:val="20"/>
          <w:szCs w:val="20"/>
          <w:lang w:val="en-GB"/>
        </w:rPr>
        <w:t xml:space="preserve"> </w:t>
      </w:r>
      <w:r>
        <w:rPr>
          <w:rFonts w:cs="Times New Roman"/>
          <w:sz w:val="20"/>
          <w:szCs w:val="20"/>
          <w:lang w:val="en-GB"/>
        </w:rPr>
        <w:t xml:space="preserve">at 7, 10, and 13 GHz bands. The </w:t>
      </w:r>
      <w:r>
        <w:rPr>
          <w:rFonts w:hint="eastAsia" w:cs="Times New Roman"/>
          <w:sz w:val="20"/>
          <w:szCs w:val="20"/>
          <w:lang w:val="en-GB"/>
        </w:rPr>
        <w:t>transmitter</w:t>
      </w:r>
      <w:r>
        <w:rPr>
          <w:rFonts w:cs="Times New Roman"/>
          <w:sz w:val="20"/>
          <w:szCs w:val="20"/>
          <w:lang w:val="en-GB"/>
        </w:rPr>
        <w:t xml:space="preserve"> (Tx) side employs two vertically polarized biconical</w:t>
      </w:r>
      <w:r>
        <w:rPr>
          <w:rFonts w:hint="eastAsia" w:cs="Times New Roman"/>
          <w:sz w:val="20"/>
          <w:szCs w:val="20"/>
          <w:lang w:val="en-GB"/>
        </w:rPr>
        <w:t xml:space="preserve"> </w:t>
      </w:r>
      <w:r>
        <w:rPr>
          <w:rFonts w:cs="Times New Roman"/>
          <w:sz w:val="20"/>
          <w:szCs w:val="20"/>
          <w:lang w:val="en-GB"/>
        </w:rPr>
        <w:t>omnidirectional antennas, operating across a frequency range</w:t>
      </w:r>
      <w:r>
        <w:rPr>
          <w:rFonts w:hint="eastAsia" w:cs="Times New Roman"/>
          <w:sz w:val="20"/>
          <w:szCs w:val="20"/>
          <w:lang w:val="en-GB"/>
        </w:rPr>
        <w:t xml:space="preserve"> </w:t>
      </w:r>
      <w:r>
        <w:rPr>
          <w:rFonts w:cs="Times New Roman"/>
          <w:sz w:val="20"/>
          <w:szCs w:val="20"/>
          <w:lang w:val="en-GB"/>
        </w:rPr>
        <w:t xml:space="preserve">of 3-40 GHz with a gain of 3 dBi. At the </w:t>
      </w:r>
      <w:r>
        <w:rPr>
          <w:rFonts w:hint="eastAsia" w:cs="Times New Roman"/>
          <w:sz w:val="20"/>
          <w:szCs w:val="20"/>
          <w:lang w:val="en-GB"/>
        </w:rPr>
        <w:t>receiver</w:t>
      </w:r>
      <w:r>
        <w:rPr>
          <w:rFonts w:cs="Times New Roman"/>
          <w:sz w:val="20"/>
          <w:szCs w:val="20"/>
          <w:lang w:val="en-GB"/>
        </w:rPr>
        <w:t xml:space="preserve"> (Rx) side, 4×4 dual-polarized uniform planar arrays (UPAs) are utilized for the three frequency bands. The antennas within each array</w:t>
      </w:r>
      <w:r>
        <w:rPr>
          <w:rFonts w:hint="eastAsia" w:cs="Times New Roman"/>
          <w:sz w:val="20"/>
          <w:szCs w:val="20"/>
          <w:lang w:val="en-GB"/>
        </w:rPr>
        <w:t xml:space="preserve"> </w:t>
      </w:r>
      <w:r>
        <w:rPr>
          <w:rFonts w:cs="Times New Roman"/>
          <w:sz w:val="20"/>
          <w:szCs w:val="20"/>
          <w:lang w:val="en-GB"/>
        </w:rPr>
        <w:t>are separated by a half-wavelength interval. To increase the</w:t>
      </w:r>
      <w:r>
        <w:rPr>
          <w:rFonts w:hint="eastAsia" w:cs="Times New Roman"/>
          <w:sz w:val="20"/>
          <w:szCs w:val="20"/>
          <w:lang w:val="en-GB"/>
        </w:rPr>
        <w:t xml:space="preserve"> </w:t>
      </w:r>
      <w:r>
        <w:rPr>
          <w:rFonts w:cs="Times New Roman"/>
          <w:sz w:val="20"/>
          <w:szCs w:val="20"/>
          <w:lang w:val="en-GB"/>
        </w:rPr>
        <w:t xml:space="preserve">measurement distance, two </w:t>
      </w:r>
      <w:r>
        <w:rPr>
          <w:rFonts w:hint="eastAsia" w:cs="Times New Roman"/>
          <w:sz w:val="20"/>
          <w:szCs w:val="20"/>
          <w:lang w:val="en-GB"/>
        </w:rPr>
        <w:t>power</w:t>
      </w:r>
      <w:r>
        <w:rPr>
          <w:rFonts w:cs="Times New Roman"/>
          <w:sz w:val="20"/>
          <w:szCs w:val="20"/>
          <w:lang w:val="en-GB"/>
        </w:rPr>
        <w:t xml:space="preserve"> </w:t>
      </w:r>
      <w:r>
        <w:rPr>
          <w:rFonts w:hint="eastAsia" w:cs="Times New Roman"/>
          <w:sz w:val="20"/>
          <w:szCs w:val="20"/>
          <w:lang w:val="en-GB"/>
        </w:rPr>
        <w:t>amplifiers</w:t>
      </w:r>
      <w:r>
        <w:rPr>
          <w:rFonts w:cs="Times New Roman"/>
          <w:sz w:val="20"/>
          <w:szCs w:val="20"/>
          <w:lang w:val="en-GB"/>
        </w:rPr>
        <w:t xml:space="preserve"> (PAs) with gain of 35 dB and two</w:t>
      </w:r>
      <w:r>
        <w:rPr>
          <w:rFonts w:hint="eastAsia" w:cs="Times New Roman"/>
          <w:sz w:val="20"/>
          <w:szCs w:val="20"/>
          <w:lang w:val="en-GB"/>
        </w:rPr>
        <w:t xml:space="preserve"> low</w:t>
      </w:r>
      <w:r>
        <w:rPr>
          <w:rFonts w:cs="Times New Roman"/>
          <w:sz w:val="20"/>
          <w:szCs w:val="20"/>
          <w:lang w:val="en-GB"/>
        </w:rPr>
        <w:t xml:space="preserve"> </w:t>
      </w:r>
      <w:r>
        <w:rPr>
          <w:rFonts w:hint="eastAsia" w:cs="Times New Roman"/>
          <w:sz w:val="20"/>
          <w:szCs w:val="20"/>
          <w:lang w:val="en-GB"/>
        </w:rPr>
        <w:t>noise</w:t>
      </w:r>
      <w:r>
        <w:rPr>
          <w:rFonts w:cs="Times New Roman"/>
          <w:sz w:val="20"/>
          <w:szCs w:val="20"/>
          <w:lang w:val="en-GB"/>
        </w:rPr>
        <w:t xml:space="preserve"> </w:t>
      </w:r>
      <w:r>
        <w:rPr>
          <w:rFonts w:hint="eastAsia" w:cs="Times New Roman"/>
          <w:sz w:val="20"/>
          <w:szCs w:val="20"/>
          <w:lang w:val="en-GB"/>
        </w:rPr>
        <w:t>amplifiers</w:t>
      </w:r>
      <w:r>
        <w:rPr>
          <w:rFonts w:cs="Times New Roman"/>
          <w:sz w:val="20"/>
          <w:szCs w:val="20"/>
          <w:lang w:val="en-GB"/>
        </w:rPr>
        <w:t xml:space="preserve"> (LNAs) with gain of 30 dB are equipped at the Tx and Rx sides,</w:t>
      </w:r>
      <w:r>
        <w:rPr>
          <w:rFonts w:hint="eastAsia" w:cs="Times New Roman"/>
          <w:sz w:val="20"/>
          <w:szCs w:val="20"/>
          <w:lang w:val="en-GB"/>
        </w:rPr>
        <w:t xml:space="preserve"> </w:t>
      </w:r>
      <w:r>
        <w:rPr>
          <w:rFonts w:cs="Times New Roman"/>
          <w:sz w:val="20"/>
          <w:szCs w:val="20"/>
          <w:lang w:val="en-GB"/>
        </w:rPr>
        <w:t xml:space="preserve">respectively. </w:t>
      </w:r>
    </w:p>
    <w:p w14:paraId="7782E018">
      <w:pPr>
        <w:ind w:firstLine="200" w:firstLineChars="100"/>
        <w:rPr>
          <w:rFonts w:cs="Times New Roman"/>
          <w:sz w:val="20"/>
          <w:szCs w:val="20"/>
          <w:lang w:val="en-GB"/>
        </w:rPr>
      </w:pPr>
      <w:r>
        <w:rPr>
          <w:rFonts w:cs="Times New Roman"/>
          <w:sz w:val="20"/>
          <w:szCs w:val="20"/>
          <w:lang w:val="en-GB"/>
        </w:rPr>
        <w:t>The multi-frequency channel measurements are conducted</w:t>
      </w:r>
      <w:r>
        <w:rPr>
          <w:rFonts w:hint="eastAsia" w:cs="Times New Roman"/>
          <w:sz w:val="20"/>
          <w:szCs w:val="20"/>
          <w:lang w:val="en-GB"/>
        </w:rPr>
        <w:t xml:space="preserve"> </w:t>
      </w:r>
      <w:r>
        <w:rPr>
          <w:rFonts w:cs="Times New Roman"/>
          <w:sz w:val="20"/>
          <w:szCs w:val="20"/>
          <w:lang w:val="en-GB"/>
        </w:rPr>
        <w:t xml:space="preserve">within the venue of China Network Valley, as depicted in </w:t>
      </w:r>
      <w:r>
        <w:rPr>
          <w:rFonts w:cs="Times New Roman"/>
          <w:sz w:val="20"/>
          <w:szCs w:val="20"/>
          <w:lang w:val="en-GB"/>
        </w:rPr>
        <w:fldChar w:fldCharType="begin"/>
      </w:r>
      <w:r>
        <w:rPr>
          <w:rFonts w:cs="Times New Roman"/>
          <w:sz w:val="20"/>
          <w:szCs w:val="20"/>
          <w:lang w:val="en-GB"/>
        </w:rPr>
        <w:instrText xml:space="preserve"> REF _Ref177633655 \h  \* MERGEFORMAT </w:instrText>
      </w:r>
      <w:r>
        <w:rPr>
          <w:rFonts w:cs="Times New Roman"/>
          <w:sz w:val="20"/>
          <w:szCs w:val="20"/>
          <w:lang w:val="en-GB"/>
        </w:rPr>
        <w:fldChar w:fldCharType="separate"/>
      </w:r>
      <w:r>
        <w:rPr>
          <w:sz w:val="20"/>
          <w:szCs w:val="20"/>
        </w:rPr>
        <w:t>Fig. 1</w:t>
      </w:r>
      <w:r>
        <w:rPr>
          <w:rFonts w:cs="Times New Roman"/>
          <w:sz w:val="20"/>
          <w:szCs w:val="20"/>
          <w:lang w:val="en-GB"/>
        </w:rPr>
        <w:fldChar w:fldCharType="end"/>
      </w:r>
      <w:r>
        <w:rPr>
          <w:rFonts w:cs="Times New Roman"/>
          <w:sz w:val="20"/>
          <w:szCs w:val="20"/>
          <w:lang w:val="en-GB"/>
        </w:rPr>
        <w:t>. The measurements encompassed</w:t>
      </w:r>
      <w:r>
        <w:rPr>
          <w:rFonts w:hint="eastAsia" w:cs="Times New Roman"/>
          <w:sz w:val="20"/>
          <w:szCs w:val="20"/>
          <w:lang w:val="en-GB"/>
        </w:rPr>
        <w:t xml:space="preserve"> </w:t>
      </w:r>
      <w:r>
        <w:rPr>
          <w:rFonts w:cs="Times New Roman"/>
          <w:sz w:val="20"/>
          <w:szCs w:val="20"/>
          <w:lang w:val="en-GB"/>
        </w:rPr>
        <w:t xml:space="preserve">both </w:t>
      </w:r>
      <w:r>
        <w:rPr>
          <w:rFonts w:hint="eastAsia" w:cs="Times New Roman"/>
          <w:sz w:val="20"/>
          <w:szCs w:val="20"/>
          <w:lang w:val="en-GB"/>
        </w:rPr>
        <w:t>static</w:t>
      </w:r>
      <w:r>
        <w:rPr>
          <w:rFonts w:cs="Times New Roman"/>
          <w:sz w:val="20"/>
          <w:szCs w:val="20"/>
          <w:lang w:val="en-GB"/>
        </w:rPr>
        <w:t xml:space="preserve"> and mo</w:t>
      </w:r>
      <w:r>
        <w:rPr>
          <w:rFonts w:hint="eastAsia" w:cs="Times New Roman"/>
          <w:sz w:val="20"/>
          <w:szCs w:val="20"/>
          <w:lang w:val="en-GB"/>
        </w:rPr>
        <w:t>ving</w:t>
      </w:r>
      <w:r>
        <w:rPr>
          <w:rFonts w:cs="Times New Roman"/>
          <w:sz w:val="20"/>
          <w:szCs w:val="20"/>
          <w:lang w:val="en-GB"/>
        </w:rPr>
        <w:t xml:space="preserve"> scenarios, and the Rx is fixed at</w:t>
      </w:r>
      <w:r>
        <w:rPr>
          <w:rFonts w:hint="eastAsia" w:cs="Times New Roman"/>
          <w:sz w:val="20"/>
          <w:szCs w:val="20"/>
          <w:lang w:val="en-GB"/>
        </w:rPr>
        <w:t xml:space="preserve"> </w:t>
      </w:r>
      <w:r>
        <w:rPr>
          <w:rFonts w:cs="Times New Roman"/>
          <w:sz w:val="20"/>
          <w:szCs w:val="20"/>
          <w:lang w:val="en-GB"/>
        </w:rPr>
        <w:t>both measurement scenarios. During stati</w:t>
      </w:r>
      <w:r>
        <w:rPr>
          <w:rFonts w:hint="eastAsia" w:cs="Times New Roman"/>
          <w:sz w:val="20"/>
          <w:szCs w:val="20"/>
          <w:lang w:val="en-GB"/>
        </w:rPr>
        <w:t>c</w:t>
      </w:r>
      <w:r>
        <w:rPr>
          <w:rFonts w:cs="Times New Roman"/>
          <w:sz w:val="20"/>
          <w:szCs w:val="20"/>
          <w:lang w:val="en-GB"/>
        </w:rPr>
        <w:t xml:space="preserve"> measurements,</w:t>
      </w:r>
      <w:r>
        <w:rPr>
          <w:rFonts w:hint="eastAsia" w:cs="Times New Roman"/>
          <w:sz w:val="20"/>
          <w:szCs w:val="20"/>
          <w:lang w:val="en-GB"/>
        </w:rPr>
        <w:t xml:space="preserve"> </w:t>
      </w:r>
      <w:r>
        <w:rPr>
          <w:rFonts w:cs="Times New Roman"/>
          <w:sz w:val="20"/>
          <w:szCs w:val="20"/>
          <w:lang w:val="en-GB"/>
        </w:rPr>
        <w:t>the Tx remains fixed at one position until data collection is</w:t>
      </w:r>
      <w:r>
        <w:rPr>
          <w:rFonts w:hint="eastAsia" w:cs="Times New Roman"/>
          <w:sz w:val="20"/>
          <w:szCs w:val="20"/>
          <w:lang w:val="en-GB"/>
        </w:rPr>
        <w:t xml:space="preserve"> </w:t>
      </w:r>
      <w:r>
        <w:rPr>
          <w:rFonts w:cs="Times New Roman"/>
          <w:sz w:val="20"/>
          <w:szCs w:val="20"/>
          <w:lang w:val="en-GB"/>
        </w:rPr>
        <w:t>completed, then it is moved to the next position. At each measurement location, 200 snapshots of channel impulse responses</w:t>
      </w:r>
      <w:r>
        <w:rPr>
          <w:rFonts w:hint="eastAsia" w:cs="Times New Roman"/>
          <w:sz w:val="20"/>
          <w:szCs w:val="20"/>
          <w:lang w:val="en-GB"/>
        </w:rPr>
        <w:t xml:space="preserve"> </w:t>
      </w:r>
      <w:r>
        <w:rPr>
          <w:rFonts w:cs="Times New Roman"/>
          <w:sz w:val="20"/>
          <w:szCs w:val="20"/>
          <w:lang w:val="en-GB"/>
        </w:rPr>
        <w:t>(CIRs) are collected, which can be averaged to improve</w:t>
      </w:r>
      <w:r>
        <w:rPr>
          <w:rFonts w:hint="eastAsia" w:cs="Times New Roman"/>
          <w:sz w:val="20"/>
          <w:szCs w:val="20"/>
          <w:lang w:val="en-GB"/>
        </w:rPr>
        <w:t xml:space="preserve"> </w:t>
      </w:r>
      <w:r>
        <w:rPr>
          <w:rFonts w:cs="Times New Roman"/>
          <w:sz w:val="20"/>
          <w:szCs w:val="20"/>
          <w:lang w:val="en-GB"/>
        </w:rPr>
        <w:t>the signal-to-noise ratio (SNR). The term ‘Route’ denotes</w:t>
      </w:r>
      <w:r>
        <w:rPr>
          <w:rFonts w:hint="eastAsia" w:cs="Times New Roman"/>
          <w:sz w:val="20"/>
          <w:szCs w:val="20"/>
          <w:lang w:val="en-GB"/>
        </w:rPr>
        <w:t xml:space="preserve"> </w:t>
      </w:r>
      <w:r>
        <w:rPr>
          <w:rFonts w:cs="Times New Roman"/>
          <w:sz w:val="20"/>
          <w:szCs w:val="20"/>
          <w:lang w:val="en-GB"/>
        </w:rPr>
        <w:t>the stati</w:t>
      </w:r>
      <w:r>
        <w:rPr>
          <w:rFonts w:hint="eastAsia" w:cs="Times New Roman"/>
          <w:sz w:val="20"/>
          <w:szCs w:val="20"/>
          <w:lang w:val="en-GB"/>
        </w:rPr>
        <w:t>c</w:t>
      </w:r>
      <w:r>
        <w:rPr>
          <w:rFonts w:cs="Times New Roman"/>
          <w:sz w:val="20"/>
          <w:szCs w:val="20"/>
          <w:lang w:val="en-GB"/>
        </w:rPr>
        <w:t xml:space="preserve"> measurement routes, while ‘Moving’ indicates</w:t>
      </w:r>
      <w:r>
        <w:rPr>
          <w:rFonts w:hint="eastAsia" w:cs="Times New Roman"/>
          <w:sz w:val="20"/>
          <w:szCs w:val="20"/>
          <w:lang w:val="en-GB"/>
        </w:rPr>
        <w:t xml:space="preserve"> </w:t>
      </w:r>
      <w:r>
        <w:rPr>
          <w:rFonts w:cs="Times New Roman"/>
          <w:sz w:val="20"/>
          <w:szCs w:val="20"/>
          <w:lang w:val="en-GB"/>
        </w:rPr>
        <w:t>mo</w:t>
      </w:r>
      <w:r>
        <w:rPr>
          <w:rFonts w:hint="eastAsia" w:cs="Times New Roman"/>
          <w:sz w:val="20"/>
          <w:szCs w:val="20"/>
          <w:lang w:val="en-GB"/>
        </w:rPr>
        <w:t>ving</w:t>
      </w:r>
      <w:r>
        <w:rPr>
          <w:rFonts w:cs="Times New Roman"/>
          <w:sz w:val="20"/>
          <w:szCs w:val="20"/>
          <w:lang w:val="en-GB"/>
        </w:rPr>
        <w:t xml:space="preserve"> measurement routes. The stati</w:t>
      </w:r>
      <w:r>
        <w:rPr>
          <w:rFonts w:hint="eastAsia" w:cs="Times New Roman"/>
          <w:sz w:val="20"/>
          <w:szCs w:val="20"/>
          <w:lang w:val="en-GB"/>
        </w:rPr>
        <w:t>c</w:t>
      </w:r>
      <w:r>
        <w:rPr>
          <w:rFonts w:cs="Times New Roman"/>
          <w:sz w:val="20"/>
          <w:szCs w:val="20"/>
          <w:lang w:val="en-GB"/>
        </w:rPr>
        <w:t xml:space="preserve"> measurements</w:t>
      </w:r>
      <w:r>
        <w:rPr>
          <w:rFonts w:hint="eastAsia" w:cs="Times New Roman"/>
          <w:sz w:val="20"/>
          <w:szCs w:val="20"/>
          <w:lang w:val="en-GB"/>
        </w:rPr>
        <w:t xml:space="preserve"> </w:t>
      </w:r>
      <w:r>
        <w:rPr>
          <w:rFonts w:cs="Times New Roman"/>
          <w:sz w:val="20"/>
          <w:szCs w:val="20"/>
          <w:lang w:val="en-GB"/>
        </w:rPr>
        <w:t>contain line-of-sight (LoS) and non-LoS (NLoS) scenarios, with ‘Route L1’</w:t>
      </w:r>
      <w:r>
        <w:rPr>
          <w:rFonts w:hint="eastAsia" w:cs="Times New Roman"/>
          <w:sz w:val="20"/>
          <w:szCs w:val="20"/>
          <w:lang w:val="en-GB"/>
        </w:rPr>
        <w:t xml:space="preserve"> </w:t>
      </w:r>
      <w:r>
        <w:rPr>
          <w:rFonts w:cs="Times New Roman"/>
          <w:sz w:val="20"/>
          <w:szCs w:val="20"/>
          <w:lang w:val="en-GB"/>
        </w:rPr>
        <w:t>denotes the LoS route, and ‘Route N1-N4’ refers to the NLoS routes.</w:t>
      </w:r>
      <w:r>
        <w:rPr>
          <w:rFonts w:hint="eastAsia" w:cs="Times New Roman"/>
          <w:sz w:val="20"/>
          <w:szCs w:val="20"/>
          <w:lang w:val="en-GB"/>
        </w:rPr>
        <w:t xml:space="preserve"> </w:t>
      </w:r>
      <w:r>
        <w:rPr>
          <w:rFonts w:cs="Times New Roman"/>
          <w:sz w:val="20"/>
          <w:szCs w:val="20"/>
          <w:lang w:val="en-GB"/>
        </w:rPr>
        <w:t>The LoS and NLoS routes encompass 41 and 64 distinct</w:t>
      </w:r>
      <w:r>
        <w:rPr>
          <w:rFonts w:hint="eastAsia" w:cs="Times New Roman"/>
          <w:sz w:val="20"/>
          <w:szCs w:val="20"/>
          <w:lang w:val="en-GB"/>
        </w:rPr>
        <w:t xml:space="preserve"> </w:t>
      </w:r>
      <w:r>
        <w:rPr>
          <w:rFonts w:cs="Times New Roman"/>
          <w:sz w:val="20"/>
          <w:szCs w:val="20"/>
          <w:lang w:val="en-GB"/>
        </w:rPr>
        <w:t>measurement locations, respectively.</w:t>
      </w:r>
    </w:p>
    <w:p w14:paraId="4674990D">
      <w:pPr>
        <w:ind w:firstLine="200" w:firstLineChars="100"/>
        <w:rPr>
          <w:rFonts w:cs="Times New Roman"/>
          <w:sz w:val="20"/>
          <w:szCs w:val="20"/>
          <w:lang w:val="en-GB"/>
        </w:rPr>
      </w:pPr>
      <w:r>
        <w:rPr>
          <w:rFonts w:cs="Times New Roman"/>
          <w:sz w:val="20"/>
          <w:szCs w:val="20"/>
          <w:lang w:val="en-GB"/>
        </w:rPr>
        <w:t>In moving measurements, the Tx trolley continuously moves</w:t>
      </w:r>
      <w:r>
        <w:rPr>
          <w:rFonts w:hint="eastAsia" w:cs="Times New Roman"/>
          <w:sz w:val="20"/>
          <w:szCs w:val="20"/>
          <w:lang w:val="en-GB"/>
        </w:rPr>
        <w:t xml:space="preserve"> </w:t>
      </w:r>
      <w:r>
        <w:rPr>
          <w:rFonts w:cs="Times New Roman"/>
          <w:sz w:val="20"/>
          <w:szCs w:val="20"/>
          <w:lang w:val="en-GB"/>
        </w:rPr>
        <w:t>along the designed route while data is being collected. The</w:t>
      </w:r>
      <w:r>
        <w:rPr>
          <w:rFonts w:hint="eastAsia" w:cs="Times New Roman"/>
          <w:sz w:val="20"/>
          <w:szCs w:val="20"/>
          <w:lang w:val="en-GB"/>
        </w:rPr>
        <w:t xml:space="preserve"> </w:t>
      </w:r>
      <w:r>
        <w:rPr>
          <w:rFonts w:cs="Times New Roman"/>
          <w:sz w:val="20"/>
          <w:szCs w:val="20"/>
          <w:lang w:val="en-GB"/>
        </w:rPr>
        <w:t>moving measurement routes consist of Moving R1, Moving</w:t>
      </w:r>
      <w:r>
        <w:rPr>
          <w:rFonts w:hint="eastAsia" w:cs="Times New Roman"/>
          <w:sz w:val="20"/>
          <w:szCs w:val="20"/>
          <w:lang w:val="en-GB"/>
        </w:rPr>
        <w:t xml:space="preserve"> </w:t>
      </w:r>
      <w:r>
        <w:rPr>
          <w:rFonts w:cs="Times New Roman"/>
          <w:sz w:val="20"/>
          <w:szCs w:val="20"/>
          <w:lang w:val="en-GB"/>
        </w:rPr>
        <w:t>R2, and Moving R3, with a combined length of approximately</w:t>
      </w:r>
      <w:r>
        <w:rPr>
          <w:rFonts w:hint="eastAsia" w:cs="Times New Roman"/>
          <w:sz w:val="20"/>
          <w:szCs w:val="20"/>
          <w:lang w:val="en-GB"/>
        </w:rPr>
        <w:t xml:space="preserve"> </w:t>
      </w:r>
      <w:r>
        <w:rPr>
          <w:rFonts w:cs="Times New Roman"/>
          <w:sz w:val="20"/>
          <w:szCs w:val="20"/>
          <w:lang w:val="en-GB"/>
        </w:rPr>
        <w:t>270 m. The trolley moves at a velocity of around 1 m/s,</w:t>
      </w:r>
      <w:r>
        <w:rPr>
          <w:rFonts w:hint="eastAsia" w:cs="Times New Roman"/>
          <w:sz w:val="20"/>
          <w:szCs w:val="20"/>
          <w:lang w:val="en-GB"/>
        </w:rPr>
        <w:t xml:space="preserve"> </w:t>
      </w:r>
      <w:r>
        <w:rPr>
          <w:rFonts w:cs="Times New Roman"/>
          <w:sz w:val="20"/>
          <w:szCs w:val="20"/>
          <w:lang w:val="en-GB"/>
        </w:rPr>
        <w:t>resulting in a total measurement duration of 270 s. During</w:t>
      </w:r>
      <w:r>
        <w:rPr>
          <w:rFonts w:hint="eastAsia" w:cs="Times New Roman"/>
          <w:sz w:val="20"/>
          <w:szCs w:val="20"/>
          <w:lang w:val="en-GB"/>
        </w:rPr>
        <w:t xml:space="preserve"> </w:t>
      </w:r>
      <w:r>
        <w:rPr>
          <w:rFonts w:cs="Times New Roman"/>
          <w:sz w:val="20"/>
          <w:szCs w:val="20"/>
          <w:lang w:val="en-GB"/>
        </w:rPr>
        <w:t>moving measurements, 200 snapshots of the CIRs are captured</w:t>
      </w:r>
      <w:r>
        <w:rPr>
          <w:rFonts w:hint="eastAsia" w:cs="Times New Roman"/>
          <w:sz w:val="20"/>
          <w:szCs w:val="20"/>
          <w:lang w:val="en-GB"/>
        </w:rPr>
        <w:t xml:space="preserve"> </w:t>
      </w:r>
      <w:r>
        <w:rPr>
          <w:rFonts w:cs="Times New Roman"/>
          <w:sz w:val="20"/>
          <w:szCs w:val="20"/>
          <w:lang w:val="en-GB"/>
        </w:rPr>
        <w:t>per second, amounting to a total of 54000 CIRs.</w:t>
      </w:r>
    </w:p>
    <w:p w14:paraId="4A9D3608">
      <w:pPr>
        <w:keepNext/>
        <w:jc w:val="center"/>
      </w:pPr>
      <w:r>
        <w:drawing>
          <wp:inline distT="0" distB="0" distL="0" distR="0">
            <wp:extent cx="3566160" cy="38227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3575426" cy="3832619"/>
                    </a:xfrm>
                    <a:prstGeom prst="rect">
                      <a:avLst/>
                    </a:prstGeom>
                    <a:noFill/>
                  </pic:spPr>
                </pic:pic>
              </a:graphicData>
            </a:graphic>
          </wp:inline>
        </w:drawing>
      </w:r>
    </w:p>
    <w:p w14:paraId="69698E2E">
      <w:pPr>
        <w:pStyle w:val="5"/>
        <w:jc w:val="center"/>
        <w:rPr>
          <w:rFonts w:cs="Times New Roman"/>
          <w:lang w:val="en-GB"/>
        </w:rPr>
      </w:pPr>
      <w:bookmarkStart w:id="3" w:name="_Ref177633655"/>
      <w:r>
        <w:t xml:space="preserve">Fig. </w:t>
      </w:r>
      <w:r>
        <w:fldChar w:fldCharType="begin"/>
      </w:r>
      <w:r>
        <w:instrText xml:space="preserve"> SEQ Fig. \* ARABIC </w:instrText>
      </w:r>
      <w:r>
        <w:fldChar w:fldCharType="separate"/>
      </w:r>
      <w:r>
        <w:t>1</w:t>
      </w:r>
      <w:r>
        <w:fldChar w:fldCharType="end"/>
      </w:r>
      <w:bookmarkEnd w:id="3"/>
      <w:r>
        <w:t>. Layout of the measurement campaign.</w:t>
      </w:r>
    </w:p>
    <w:p w14:paraId="2CAC2EC7">
      <w:pPr>
        <w:rPr>
          <w:rFonts w:cs="Times New Roman"/>
          <w:lang w:val="en-GB"/>
        </w:rPr>
      </w:pPr>
    </w:p>
    <w:p w14:paraId="41FC765E">
      <w:pPr>
        <w:pStyle w:val="4"/>
        <w:rPr>
          <w:rFonts w:hint="default" w:ascii="Times New Roman Regular" w:hAnsi="Times New Roman Regular" w:cs="Times New Roman Regular"/>
          <w:szCs w:val="22"/>
          <w:lang w:val="en-US"/>
        </w:rPr>
      </w:pPr>
      <w:r>
        <w:rPr>
          <w:rFonts w:hint="default" w:ascii="Times New Roman Regular" w:hAnsi="Times New Roman Regular" w:cs="Times New Roman Regular"/>
          <w:szCs w:val="22"/>
        </w:rPr>
        <w:t>2.</w:t>
      </w:r>
      <w:r>
        <w:rPr>
          <w:rFonts w:hint="default" w:ascii="Times New Roman Regular" w:hAnsi="Times New Roman Regular" w:cs="Times New Roman Regular"/>
          <w:szCs w:val="22"/>
          <w:lang w:val="en-US"/>
        </w:rPr>
        <w:t>2</w:t>
      </w:r>
      <w:r>
        <w:rPr>
          <w:rFonts w:hint="default" w:ascii="Times New Roman Regular" w:hAnsi="Times New Roman Regular" w:cs="Times New Roman Regular"/>
          <w:szCs w:val="22"/>
        </w:rPr>
        <w:t xml:space="preserve"> </w:t>
      </w:r>
      <w:r>
        <w:rPr>
          <w:rFonts w:hint="default" w:ascii="Times New Roman Regular" w:hAnsi="Times New Roman Regular" w:cs="Times New Roman Regular"/>
          <w:szCs w:val="22"/>
          <w:lang w:val="en-US"/>
        </w:rPr>
        <w:t xml:space="preserve">Results and comparison to 3GPP TR 38.901 </w:t>
      </w:r>
    </w:p>
    <w:p w14:paraId="161F7F8F">
      <w:pPr>
        <w:rPr>
          <w:rFonts w:hint="default" w:ascii="Times New Roman Regular" w:hAnsi="Times New Roman Regular" w:cs="Times New Roman Regular"/>
        </w:rPr>
      </w:pPr>
      <w:r>
        <w:rPr>
          <w:rFonts w:hint="default" w:ascii="Times New Roman Regular" w:hAnsi="Times New Roman Regular" w:cs="Times New Roman Regular"/>
        </w:rPr>
        <w:t>2.2.1 Path loss</w:t>
      </w:r>
    </w:p>
    <w:p w14:paraId="73A59936">
      <w:pPr>
        <w:ind w:firstLine="200" w:firstLineChars="100"/>
        <w:rPr>
          <w:rFonts w:cs="Times New Roman"/>
          <w:sz w:val="20"/>
          <w:szCs w:val="20"/>
        </w:rPr>
      </w:pPr>
      <w:r>
        <w:rPr>
          <w:rFonts w:cs="Times New Roman"/>
          <w:sz w:val="20"/>
          <w:szCs w:val="20"/>
        </w:rPr>
        <w:t>The path loss is fitted using a floating intercept model, which includes both path loss and shadow fading:</w:t>
      </w:r>
    </w:p>
    <w:tbl>
      <w:tblPr>
        <w:tblStyle w:val="13"/>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991"/>
        <w:gridCol w:w="863"/>
      </w:tblGrid>
      <w:tr w14:paraId="23ADC903">
        <w:tc>
          <w:tcPr>
            <w:tcW w:w="4562" w:type="pct"/>
            <w:vAlign w:val="center"/>
          </w:tcPr>
          <w:p w14:paraId="32F391EC">
            <w:pPr>
              <w:keepNext/>
              <w:autoSpaceDE w:val="0"/>
              <w:autoSpaceDN w:val="0"/>
              <w:adjustRightInd w:val="0"/>
              <w:spacing w:line="360" w:lineRule="auto"/>
              <w:jc w:val="center"/>
              <w:rPr>
                <w:sz w:val="20"/>
                <w:szCs w:val="20"/>
              </w:rPr>
            </w:pPr>
            <m:oMathPara>
              <m:oMath>
                <m:r>
                  <m:rPr>
                    <m:sty m:val="p"/>
                  </m:rPr>
                  <w:rPr>
                    <w:rFonts w:ascii="Cambria Math" w:hAnsi="Cambria Math"/>
                    <w:sz w:val="20"/>
                    <w:szCs w:val="20"/>
                  </w:rPr>
                  <m:t>PL</m:t>
                </m:r>
                <m:d>
                  <m:dPr>
                    <m:ctrlPr>
                      <w:rPr>
                        <w:rFonts w:ascii="Cambria Math" w:hAnsi="Cambria Math"/>
                        <w:sz w:val="20"/>
                        <w:szCs w:val="20"/>
                      </w:rPr>
                    </m:ctrlPr>
                  </m:dPr>
                  <m:e>
                    <m:r>
                      <m:rPr/>
                      <w:rPr>
                        <w:rFonts w:hint="eastAsia" w:ascii="Cambria Math" w:hAnsi="Cambria Math"/>
                        <w:sz w:val="20"/>
                        <w:szCs w:val="20"/>
                      </w:rPr>
                      <m:t>d</m:t>
                    </m:r>
                    <m:ctrlPr>
                      <w:rPr>
                        <w:rFonts w:ascii="Cambria Math" w:hAnsi="Cambria Math"/>
                        <w:sz w:val="20"/>
                        <w:szCs w:val="20"/>
                      </w:rPr>
                    </m:ctrlPr>
                  </m:e>
                </m:d>
                <m:r>
                  <m:rPr>
                    <m:sty m:val="p"/>
                  </m:rPr>
                  <w:rPr>
                    <w:rFonts w:ascii="Cambria Math" w:hAnsi="Cambria Math"/>
                    <w:sz w:val="20"/>
                    <w:szCs w:val="20"/>
                  </w:rPr>
                  <m:t>=</m:t>
                </m:r>
                <m:r>
                  <m:rPr/>
                  <w:rPr>
                    <w:rFonts w:ascii="Cambria Math" w:hAnsi="Cambria Math"/>
                    <w:sz w:val="20"/>
                    <w:szCs w:val="20"/>
                  </w:rPr>
                  <m:t>PL</m:t>
                </m:r>
                <m:d>
                  <m:dPr>
                    <m:ctrlPr>
                      <w:rPr>
                        <w:rFonts w:ascii="Cambria Math" w:hAnsi="Cambria Math"/>
                        <w:i/>
                        <w:sz w:val="20"/>
                        <w:szCs w:val="20"/>
                      </w:rPr>
                    </m:ctrlPr>
                  </m:dPr>
                  <m:e>
                    <m:sSub>
                      <m:sSubPr>
                        <m:ctrlPr>
                          <w:rPr>
                            <w:rFonts w:ascii="Cambria Math" w:hAnsi="Cambria Math"/>
                            <w:i/>
                            <w:sz w:val="20"/>
                            <w:szCs w:val="20"/>
                          </w:rPr>
                        </m:ctrlPr>
                      </m:sSubPr>
                      <m:e>
                        <m:r>
                          <m:rPr/>
                          <w:rPr>
                            <w:rFonts w:ascii="Cambria Math" w:hAnsi="Cambria Math"/>
                            <w:sz w:val="20"/>
                            <w:szCs w:val="20"/>
                          </w:rPr>
                          <m:t>d</m:t>
                        </m:r>
                        <m:ctrlPr>
                          <w:rPr>
                            <w:rFonts w:ascii="Cambria Math" w:hAnsi="Cambria Math"/>
                            <w:i/>
                            <w:sz w:val="20"/>
                            <w:szCs w:val="20"/>
                          </w:rPr>
                        </m:ctrlPr>
                      </m:e>
                      <m:sub>
                        <m:r>
                          <m:rPr/>
                          <w:rPr>
                            <w:rFonts w:ascii="Cambria Math" w:hAnsi="Cambria Math"/>
                            <w:sz w:val="20"/>
                            <w:szCs w:val="20"/>
                          </w:rPr>
                          <m:t>0</m:t>
                        </m:r>
                        <m:ctrlPr>
                          <w:rPr>
                            <w:rFonts w:ascii="Cambria Math" w:hAnsi="Cambria Math"/>
                            <w:i/>
                            <w:sz w:val="20"/>
                            <w:szCs w:val="20"/>
                          </w:rPr>
                        </m:ctrlPr>
                      </m:sub>
                    </m:sSub>
                    <m:ctrlPr>
                      <w:rPr>
                        <w:rFonts w:ascii="Cambria Math" w:hAnsi="Cambria Math"/>
                        <w:i/>
                        <w:sz w:val="20"/>
                        <w:szCs w:val="20"/>
                      </w:rPr>
                    </m:ctrlPr>
                  </m:e>
                </m:d>
                <m:r>
                  <m:rPr/>
                  <w:rPr>
                    <w:rFonts w:ascii="Cambria Math" w:hAnsi="Cambria Math"/>
                    <w:sz w:val="20"/>
                    <w:szCs w:val="20"/>
                  </w:rPr>
                  <m:t>+10n</m:t>
                </m:r>
                <m:sSub>
                  <m:sSubPr>
                    <m:ctrlPr>
                      <w:rPr>
                        <w:rFonts w:ascii="Cambria Math" w:hAnsi="Cambria Math"/>
                        <w:i/>
                        <w:sz w:val="20"/>
                        <w:szCs w:val="20"/>
                      </w:rPr>
                    </m:ctrlPr>
                  </m:sSubPr>
                  <m:e>
                    <m:r>
                      <m:rPr>
                        <m:sty m:val="p"/>
                      </m:rPr>
                      <w:rPr>
                        <w:rFonts w:ascii="Cambria Math" w:hAnsi="Cambria Math"/>
                        <w:sz w:val="20"/>
                        <w:szCs w:val="20"/>
                      </w:rPr>
                      <m:t>log</m:t>
                    </m:r>
                    <m:ctrlPr>
                      <w:rPr>
                        <w:rFonts w:ascii="Cambria Math" w:hAnsi="Cambria Math"/>
                        <w:i/>
                        <w:sz w:val="20"/>
                        <w:szCs w:val="20"/>
                      </w:rPr>
                    </m:ctrlPr>
                  </m:e>
                  <m:sub>
                    <m:r>
                      <m:rPr/>
                      <w:rPr>
                        <w:rFonts w:ascii="Cambria Math" w:hAnsi="Cambria Math"/>
                        <w:sz w:val="20"/>
                        <w:szCs w:val="20"/>
                      </w:rPr>
                      <m:t>10</m:t>
                    </m:r>
                    <m:ctrlPr>
                      <w:rPr>
                        <w:rFonts w:ascii="Cambria Math" w:hAnsi="Cambria Math"/>
                        <w:i/>
                        <w:sz w:val="20"/>
                        <w:szCs w:val="20"/>
                      </w:rPr>
                    </m:ctrlPr>
                  </m:sub>
                </m:sSub>
                <m:r>
                  <m:rPr/>
                  <w:rPr>
                    <w:rFonts w:ascii="Cambria Math" w:hAnsi="Cambria Math"/>
                    <w:sz w:val="20"/>
                    <w:szCs w:val="20"/>
                  </w:rPr>
                  <m:t>(</m:t>
                </m:r>
                <m:f>
                  <m:fPr>
                    <m:ctrlPr>
                      <w:rPr>
                        <w:rFonts w:ascii="Cambria Math" w:hAnsi="Cambria Math"/>
                        <w:i/>
                        <w:sz w:val="20"/>
                        <w:szCs w:val="20"/>
                      </w:rPr>
                    </m:ctrlPr>
                  </m:fPr>
                  <m:num>
                    <m:r>
                      <m:rPr/>
                      <w:rPr>
                        <w:rFonts w:hint="eastAsia" w:ascii="Cambria Math" w:hAnsi="Cambria Math"/>
                        <w:sz w:val="20"/>
                        <w:szCs w:val="20"/>
                      </w:rPr>
                      <m:t>d</m:t>
                    </m:r>
                    <m:ctrlPr>
                      <w:rPr>
                        <w:rFonts w:ascii="Cambria Math" w:hAnsi="Cambria Math"/>
                        <w:i/>
                        <w:sz w:val="20"/>
                        <w:szCs w:val="20"/>
                      </w:rPr>
                    </m:ctrlPr>
                  </m:num>
                  <m:den>
                    <m:sSub>
                      <m:sSubPr>
                        <m:ctrlPr>
                          <w:rPr>
                            <w:rFonts w:ascii="Cambria Math" w:hAnsi="Cambria Math"/>
                            <w:i/>
                            <w:sz w:val="20"/>
                            <w:szCs w:val="20"/>
                          </w:rPr>
                        </m:ctrlPr>
                      </m:sSubPr>
                      <m:e>
                        <m:r>
                          <m:rPr/>
                          <w:rPr>
                            <w:rFonts w:ascii="Cambria Math" w:hAnsi="Cambria Math"/>
                            <w:sz w:val="20"/>
                            <w:szCs w:val="20"/>
                          </w:rPr>
                          <m:t>d</m:t>
                        </m:r>
                        <m:ctrlPr>
                          <w:rPr>
                            <w:rFonts w:ascii="Cambria Math" w:hAnsi="Cambria Math"/>
                            <w:i/>
                            <w:sz w:val="20"/>
                            <w:szCs w:val="20"/>
                          </w:rPr>
                        </m:ctrlPr>
                      </m:e>
                      <m:sub>
                        <m:r>
                          <m:rPr/>
                          <w:rPr>
                            <w:rFonts w:ascii="Cambria Math" w:hAnsi="Cambria Math"/>
                            <w:sz w:val="20"/>
                            <w:szCs w:val="20"/>
                          </w:rPr>
                          <m:t>0</m:t>
                        </m:r>
                        <m:ctrlPr>
                          <w:rPr>
                            <w:rFonts w:ascii="Cambria Math" w:hAnsi="Cambria Math"/>
                            <w:i/>
                            <w:sz w:val="20"/>
                            <w:szCs w:val="20"/>
                          </w:rPr>
                        </m:ctrlPr>
                      </m:sub>
                    </m:sSub>
                    <m:ctrlPr>
                      <w:rPr>
                        <w:rFonts w:ascii="Cambria Math" w:hAnsi="Cambria Math"/>
                        <w:i/>
                        <w:sz w:val="20"/>
                        <w:szCs w:val="20"/>
                      </w:rPr>
                    </m:ctrlPr>
                  </m:den>
                </m:f>
                <m:r>
                  <m:rPr/>
                  <w:rPr>
                    <w:rFonts w:ascii="Cambria Math" w:hAnsi="Cambria Math"/>
                    <w:sz w:val="20"/>
                    <w:szCs w:val="20"/>
                  </w:rPr>
                  <m:t>)+N(0,</m:t>
                </m:r>
                <m:sSup>
                  <m:sSupPr>
                    <m:ctrlPr>
                      <w:rPr>
                        <w:rFonts w:ascii="Cambria Math" w:hAnsi="Cambria Math"/>
                        <w:i/>
                        <w:sz w:val="20"/>
                        <w:szCs w:val="20"/>
                      </w:rPr>
                    </m:ctrlPr>
                  </m:sSupPr>
                  <m:e>
                    <m:r>
                      <m:rPr/>
                      <w:rPr>
                        <w:rFonts w:ascii="Cambria Math" w:hAnsi="Cambria Math"/>
                        <w:sz w:val="20"/>
                        <w:szCs w:val="20"/>
                      </w:rPr>
                      <m:t>σ</m:t>
                    </m:r>
                    <m:ctrlPr>
                      <w:rPr>
                        <w:rFonts w:ascii="Cambria Math" w:hAnsi="Cambria Math"/>
                        <w:i/>
                        <w:sz w:val="20"/>
                        <w:szCs w:val="20"/>
                      </w:rPr>
                    </m:ctrlPr>
                  </m:e>
                  <m:sup>
                    <m:r>
                      <m:rPr/>
                      <w:rPr>
                        <w:rFonts w:ascii="Cambria Math" w:hAnsi="Cambria Math"/>
                        <w:sz w:val="20"/>
                        <w:szCs w:val="20"/>
                      </w:rPr>
                      <m:t>2</m:t>
                    </m:r>
                    <m:ctrlPr>
                      <w:rPr>
                        <w:rFonts w:ascii="Cambria Math" w:hAnsi="Cambria Math"/>
                        <w:i/>
                        <w:sz w:val="20"/>
                        <w:szCs w:val="20"/>
                      </w:rPr>
                    </m:ctrlPr>
                  </m:sup>
                </m:sSup>
                <m:r>
                  <m:rPr/>
                  <w:rPr>
                    <w:rFonts w:ascii="Cambria Math" w:hAnsi="Cambria Math"/>
                    <w:sz w:val="20"/>
                    <w:szCs w:val="20"/>
                  </w:rPr>
                  <m:t xml:space="preserve">), </m:t>
                </m:r>
                <m:r>
                  <m:rPr/>
                  <w:rPr>
                    <w:rFonts w:hint="eastAsia" w:ascii="Cambria Math" w:hAnsi="Cambria Math"/>
                    <w:sz w:val="20"/>
                    <w:szCs w:val="20"/>
                  </w:rPr>
                  <m:t>d</m:t>
                </m:r>
                <m:r>
                  <m:rPr/>
                  <w:rPr>
                    <w:rFonts w:ascii="Cambria Math" w:hAnsi="Cambria Math"/>
                    <w:sz w:val="20"/>
                    <w:szCs w:val="20"/>
                  </w:rPr>
                  <m:t>≥</m:t>
                </m:r>
                <m:sSub>
                  <m:sSubPr>
                    <m:ctrlPr>
                      <w:rPr>
                        <w:rFonts w:ascii="Cambria Math" w:hAnsi="Cambria Math"/>
                        <w:i/>
                        <w:sz w:val="20"/>
                        <w:szCs w:val="20"/>
                      </w:rPr>
                    </m:ctrlPr>
                  </m:sSubPr>
                  <m:e>
                    <m:r>
                      <m:rPr/>
                      <w:rPr>
                        <w:rFonts w:ascii="Cambria Math" w:hAnsi="Cambria Math"/>
                        <w:sz w:val="20"/>
                        <w:szCs w:val="20"/>
                      </w:rPr>
                      <m:t>d</m:t>
                    </m:r>
                    <m:ctrlPr>
                      <w:rPr>
                        <w:rFonts w:ascii="Cambria Math" w:hAnsi="Cambria Math"/>
                        <w:i/>
                        <w:sz w:val="20"/>
                        <w:szCs w:val="20"/>
                      </w:rPr>
                    </m:ctrlPr>
                  </m:e>
                  <m:sub>
                    <m:r>
                      <m:rPr/>
                      <w:rPr>
                        <w:rFonts w:ascii="Cambria Math" w:hAnsi="Cambria Math"/>
                        <w:sz w:val="20"/>
                        <w:szCs w:val="20"/>
                      </w:rPr>
                      <m:t>0</m:t>
                    </m:r>
                    <m:ctrlPr>
                      <w:rPr>
                        <w:rFonts w:ascii="Cambria Math" w:hAnsi="Cambria Math"/>
                        <w:i/>
                        <w:sz w:val="20"/>
                        <w:szCs w:val="20"/>
                      </w:rPr>
                    </m:ctrlPr>
                  </m:sub>
                </m:sSub>
              </m:oMath>
            </m:oMathPara>
          </w:p>
        </w:tc>
        <w:tc>
          <w:tcPr>
            <w:tcW w:w="438" w:type="pct"/>
            <w:vAlign w:val="center"/>
          </w:tcPr>
          <w:p w14:paraId="4531D464">
            <w:pPr>
              <w:pStyle w:val="5"/>
              <w:autoSpaceDE w:val="0"/>
              <w:autoSpaceDN w:val="0"/>
              <w:adjustRightInd w:val="0"/>
              <w:spacing w:line="360" w:lineRule="auto"/>
              <w:jc w:val="right"/>
            </w:pPr>
            <w:r>
              <w:t xml:space="preserve">( </w:t>
            </w:r>
            <w:r>
              <w:fldChar w:fldCharType="begin"/>
            </w:r>
            <w:r>
              <w:instrText xml:space="preserve"> SEQ ( \* ARABIC </w:instrText>
            </w:r>
            <w:r>
              <w:fldChar w:fldCharType="separate"/>
            </w:r>
            <w:r>
              <w:t>1</w:t>
            </w:r>
            <w:r>
              <w:fldChar w:fldCharType="end"/>
            </w:r>
            <w:r>
              <w:t xml:space="preserve"> </w:t>
            </w:r>
            <w:r>
              <w:rPr>
                <w:rFonts w:hint="eastAsia"/>
              </w:rPr>
              <w:t>)</w:t>
            </w:r>
          </w:p>
        </w:tc>
      </w:tr>
    </w:tbl>
    <w:p w14:paraId="15780148">
      <w:pPr>
        <w:rPr>
          <w:rFonts w:cs="Times New Roman"/>
          <w:sz w:val="20"/>
          <w:szCs w:val="20"/>
        </w:rPr>
      </w:pPr>
      <w:r>
        <w:rPr>
          <w:rFonts w:cs="Times New Roman"/>
          <w:sz w:val="20"/>
          <w:szCs w:val="20"/>
        </w:rPr>
        <w:t xml:space="preserve">where </w:t>
      </w:r>
      <m:oMath>
        <m:r>
          <m:rPr/>
          <w:rPr>
            <w:rFonts w:ascii="Cambria Math" w:hAnsi="Cambria Math"/>
            <w:sz w:val="20"/>
            <w:szCs w:val="20"/>
          </w:rPr>
          <m:t>PL</m:t>
        </m:r>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m:rPr/>
                  <w:rPr>
                    <w:rFonts w:ascii="Cambria Math" w:hAnsi="Cambria Math"/>
                    <w:sz w:val="20"/>
                    <w:szCs w:val="20"/>
                  </w:rPr>
                  <m:t>d</m:t>
                </m:r>
                <m:ctrlPr>
                  <w:rPr>
                    <w:rFonts w:ascii="Cambria Math" w:hAnsi="Cambria Math" w:cs="Times New Roman"/>
                    <w:i/>
                    <w:sz w:val="20"/>
                    <w:szCs w:val="20"/>
                  </w:rPr>
                </m:ctrlPr>
              </m:e>
              <m:sub>
                <m:r>
                  <m:rPr/>
                  <w:rPr>
                    <w:rFonts w:ascii="Cambria Math" w:hAnsi="Cambria Math"/>
                    <w:sz w:val="20"/>
                    <w:szCs w:val="20"/>
                  </w:rPr>
                  <m:t>0</m:t>
                </m:r>
                <m:ctrlPr>
                  <w:rPr>
                    <w:rFonts w:ascii="Cambria Math" w:hAnsi="Cambria Math" w:cs="Times New Roman"/>
                    <w:i/>
                    <w:sz w:val="20"/>
                    <w:szCs w:val="20"/>
                  </w:rPr>
                </m:ctrlPr>
              </m:sub>
            </m:sSub>
            <m:ctrlPr>
              <w:rPr>
                <w:rFonts w:ascii="Cambria Math" w:hAnsi="Cambria Math" w:cs="Times New Roman"/>
                <w:i/>
                <w:sz w:val="20"/>
                <w:szCs w:val="20"/>
              </w:rPr>
            </m:ctrlPr>
          </m:e>
        </m:d>
      </m:oMath>
      <w:r>
        <w:rPr>
          <w:rFonts w:hint="eastAsia" w:cs="Times New Roman"/>
          <w:sz w:val="20"/>
          <w:szCs w:val="20"/>
        </w:rPr>
        <w:t xml:space="preserve"> </w:t>
      </w:r>
      <w:r>
        <w:rPr>
          <w:rFonts w:cs="Times New Roman"/>
          <w:sz w:val="20"/>
          <w:szCs w:val="20"/>
        </w:rPr>
        <w:t xml:space="preserve">represents the free-space path loss at a distance </w:t>
      </w:r>
      <m:oMath>
        <m:sSub>
          <m:sSubPr>
            <m:ctrlPr>
              <w:rPr>
                <w:rFonts w:ascii="Cambria Math" w:hAnsi="Cambria Math"/>
                <w:i/>
                <w:sz w:val="20"/>
                <w:szCs w:val="20"/>
              </w:rPr>
            </m:ctrlPr>
          </m:sSubPr>
          <m:e>
            <m:r>
              <m:rPr/>
              <w:rPr>
                <w:rFonts w:ascii="Cambria Math" w:hAnsi="Cambria Math"/>
                <w:sz w:val="20"/>
                <w:szCs w:val="20"/>
              </w:rPr>
              <m:t>d</m:t>
            </m:r>
            <m:ctrlPr>
              <w:rPr>
                <w:rFonts w:ascii="Cambria Math" w:hAnsi="Cambria Math"/>
                <w:i/>
                <w:sz w:val="20"/>
                <w:szCs w:val="20"/>
              </w:rPr>
            </m:ctrlPr>
          </m:e>
          <m:sub>
            <m:r>
              <m:rPr/>
              <w:rPr>
                <w:rFonts w:ascii="Cambria Math" w:hAnsi="Cambria Math"/>
                <w:sz w:val="20"/>
                <w:szCs w:val="20"/>
              </w:rPr>
              <m:t>0</m:t>
            </m:r>
            <m:ctrlPr>
              <w:rPr>
                <w:rFonts w:ascii="Cambria Math" w:hAnsi="Cambria Math"/>
                <w:i/>
                <w:sz w:val="20"/>
                <w:szCs w:val="20"/>
              </w:rPr>
            </m:ctrlPr>
          </m:sub>
        </m:sSub>
      </m:oMath>
      <w:r>
        <w:rPr>
          <w:rFonts w:hint="eastAsia" w:cs="Times New Roman"/>
          <w:sz w:val="20"/>
          <w:szCs w:val="20"/>
        </w:rPr>
        <w:t>,</w:t>
      </w:r>
      <w:r>
        <w:rPr>
          <w:rFonts w:cs="Times New Roman"/>
          <w:sz w:val="20"/>
          <w:szCs w:val="20"/>
        </w:rPr>
        <w:t xml:space="preserve"> and </w:t>
      </w:r>
      <m:oMath>
        <m:sSub>
          <m:sSubPr>
            <m:ctrlPr>
              <w:rPr>
                <w:rFonts w:ascii="Cambria Math" w:hAnsi="Cambria Math"/>
                <w:i/>
                <w:sz w:val="20"/>
                <w:szCs w:val="20"/>
              </w:rPr>
            </m:ctrlPr>
          </m:sSubPr>
          <m:e>
            <m:r>
              <m:rPr/>
              <w:rPr>
                <w:rFonts w:ascii="Cambria Math" w:hAnsi="Cambria Math"/>
                <w:sz w:val="20"/>
                <w:szCs w:val="20"/>
              </w:rPr>
              <m:t>d</m:t>
            </m:r>
            <m:ctrlPr>
              <w:rPr>
                <w:rFonts w:ascii="Cambria Math" w:hAnsi="Cambria Math"/>
                <w:i/>
                <w:sz w:val="20"/>
                <w:szCs w:val="20"/>
              </w:rPr>
            </m:ctrlPr>
          </m:e>
          <m:sub>
            <m:r>
              <m:rPr/>
              <w:rPr>
                <w:rFonts w:ascii="Cambria Math" w:hAnsi="Cambria Math"/>
                <w:sz w:val="20"/>
                <w:szCs w:val="20"/>
              </w:rPr>
              <m:t>0</m:t>
            </m:r>
            <m:ctrlPr>
              <w:rPr>
                <w:rFonts w:ascii="Cambria Math" w:hAnsi="Cambria Math"/>
                <w:i/>
                <w:sz w:val="20"/>
                <w:szCs w:val="20"/>
              </w:rPr>
            </m:ctrlPr>
          </m:sub>
        </m:sSub>
        <m:r>
          <m:rPr/>
          <w:rPr>
            <w:rFonts w:ascii="Cambria Math" w:hAnsi="Cambria Math"/>
            <w:sz w:val="20"/>
            <w:szCs w:val="20"/>
          </w:rPr>
          <m:t>=1 m</m:t>
        </m:r>
      </m:oMath>
      <w:r>
        <w:rPr>
          <w:rFonts w:hint="eastAsia" w:cs="Times New Roman"/>
          <w:sz w:val="20"/>
          <w:szCs w:val="20"/>
        </w:rPr>
        <w:t xml:space="preserve"> serve</w:t>
      </w:r>
      <w:r>
        <w:rPr>
          <w:rFonts w:cs="Times New Roman"/>
          <w:sz w:val="20"/>
          <w:szCs w:val="20"/>
        </w:rPr>
        <w:t xml:space="preserve">s as the reference distance. Besides, </w:t>
      </w:r>
      <m:oMath>
        <m:r>
          <m:rPr/>
          <w:rPr>
            <w:rFonts w:ascii="Cambria Math" w:hAnsi="Cambria Math"/>
            <w:sz w:val="20"/>
            <w:szCs w:val="20"/>
          </w:rPr>
          <m:t>n</m:t>
        </m:r>
      </m:oMath>
      <w:r>
        <w:rPr>
          <w:rFonts w:cs="Times New Roman"/>
          <w:sz w:val="20"/>
          <w:szCs w:val="20"/>
        </w:rPr>
        <w:t xml:space="preserve"> denotes the path loss exponent (PLE), </w:t>
      </w:r>
      <m:oMath>
        <m:r>
          <m:rPr/>
          <w:rPr>
            <w:rFonts w:ascii="Cambria Math" w:hAnsi="Cambria Math"/>
            <w:sz w:val="20"/>
            <w:szCs w:val="20"/>
          </w:rPr>
          <m:t>N</m:t>
        </m:r>
      </m:oMath>
      <w:r>
        <w:rPr>
          <w:rFonts w:hint="eastAsia" w:cs="Times New Roman"/>
          <w:sz w:val="20"/>
          <w:szCs w:val="20"/>
        </w:rPr>
        <w:t xml:space="preserve"> </w:t>
      </w:r>
      <w:r>
        <w:rPr>
          <w:rFonts w:cs="Times New Roman"/>
          <w:sz w:val="20"/>
          <w:szCs w:val="20"/>
        </w:rPr>
        <w:t xml:space="preserve">follows a normal distribution with mean of 0 and standard variance of </w:t>
      </w:r>
      <m:oMath>
        <m:r>
          <m:rPr/>
          <w:rPr>
            <w:rFonts w:ascii="Cambria Math" w:hAnsi="Cambria Math"/>
            <w:sz w:val="20"/>
            <w:szCs w:val="20"/>
          </w:rPr>
          <m:t>σ</m:t>
        </m:r>
      </m:oMath>
      <w:r>
        <w:rPr>
          <w:rFonts w:hint="eastAsia" w:cs="Times New Roman"/>
          <w:sz w:val="20"/>
          <w:szCs w:val="20"/>
        </w:rPr>
        <w:t>,</w:t>
      </w:r>
      <w:r>
        <w:rPr>
          <w:rFonts w:cs="Times New Roman"/>
          <w:sz w:val="20"/>
          <w:szCs w:val="20"/>
        </w:rPr>
        <w:t xml:space="preserve"> representing shadowing fading. The path loss measurement and fitting results for the LoS and NLoS scenarios at 7, 10, and 13 GHz frequency bands are shown in </w:t>
      </w:r>
      <w:r>
        <w:rPr>
          <w:rFonts w:cs="Times New Roman"/>
          <w:sz w:val="20"/>
          <w:szCs w:val="20"/>
        </w:rPr>
        <w:fldChar w:fldCharType="begin"/>
      </w:r>
      <w:r>
        <w:rPr>
          <w:rFonts w:cs="Times New Roman"/>
          <w:sz w:val="20"/>
          <w:szCs w:val="20"/>
        </w:rPr>
        <w:instrText xml:space="preserve"> REF _Ref177635545 \h  \* MERGEFORMAT </w:instrText>
      </w:r>
      <w:r>
        <w:rPr>
          <w:rFonts w:cs="Times New Roman"/>
          <w:sz w:val="20"/>
          <w:szCs w:val="20"/>
        </w:rPr>
        <w:fldChar w:fldCharType="separate"/>
      </w:r>
      <w:r>
        <w:rPr>
          <w:sz w:val="20"/>
          <w:szCs w:val="20"/>
        </w:rPr>
        <w:t>Fig. 2</w:t>
      </w:r>
      <w:r>
        <w:rPr>
          <w:rFonts w:cs="Times New Roman"/>
          <w:sz w:val="20"/>
          <w:szCs w:val="20"/>
        </w:rPr>
        <w:fldChar w:fldCharType="end"/>
      </w:r>
      <w:r>
        <w:rPr>
          <w:rFonts w:cs="Times New Roman"/>
          <w:sz w:val="20"/>
          <w:szCs w:val="20"/>
        </w:rPr>
        <w:t xml:space="preserve">, </w:t>
      </w:r>
      <w:r>
        <w:rPr>
          <w:rFonts w:hint="eastAsia" w:cs="Times New Roman"/>
          <w:sz w:val="20"/>
          <w:szCs w:val="20"/>
        </w:rPr>
        <w:t>with</w:t>
      </w:r>
      <w:r>
        <w:rPr>
          <w:rFonts w:cs="Times New Roman"/>
          <w:sz w:val="20"/>
          <w:szCs w:val="20"/>
        </w:rPr>
        <w:t xml:space="preserve"> detailed fitting parameters summarized in </w:t>
      </w:r>
      <w:r>
        <w:rPr>
          <w:rFonts w:cs="Times New Roman"/>
          <w:sz w:val="20"/>
          <w:szCs w:val="20"/>
        </w:rPr>
        <w:fldChar w:fldCharType="begin"/>
      </w:r>
      <w:r>
        <w:rPr>
          <w:rFonts w:cs="Times New Roman"/>
          <w:sz w:val="20"/>
          <w:szCs w:val="20"/>
        </w:rPr>
        <w:instrText xml:space="preserve"> REF _Ref177635731 \h  \* MERGEFORMAT </w:instrText>
      </w:r>
      <w:r>
        <w:rPr>
          <w:rFonts w:cs="Times New Roman"/>
          <w:sz w:val="20"/>
          <w:szCs w:val="20"/>
        </w:rPr>
        <w:fldChar w:fldCharType="separate"/>
      </w:r>
      <w:r>
        <w:rPr>
          <w:sz w:val="20"/>
          <w:szCs w:val="20"/>
        </w:rPr>
        <w:t>Table 1</w:t>
      </w:r>
      <w:r>
        <w:rPr>
          <w:rFonts w:cs="Times New Roman"/>
          <w:sz w:val="20"/>
          <w:szCs w:val="20"/>
        </w:rPr>
        <w:fldChar w:fldCharType="end"/>
      </w:r>
      <w:r>
        <w:rPr>
          <w:rFonts w:cs="Times New Roman"/>
          <w:sz w:val="20"/>
          <w:szCs w:val="20"/>
        </w:rPr>
        <w:t>. It can be observed that in LoS scenarios, the PLE is less than 2 and increases with rising frequency. This is due to the fact that in LoS conditions, alongside the LoS path, there are numerous reflection paths, which increase the received power. The gains from these reflection paths decrease as the frequency increases. Additionally, it is observed that in LoS scenarios, the measured path loss fluctuates significantly when the distance between the Tx and Rx exceeds 50 m. This is because the channel environment becomes more complex as the distance between the Tx and Rx increases.</w:t>
      </w:r>
    </w:p>
    <w:p w14:paraId="07E840A9">
      <w:pPr>
        <w:ind w:firstLine="200" w:firstLineChars="100"/>
        <w:rPr>
          <w:rFonts w:cs="Times New Roman"/>
          <w:sz w:val="20"/>
          <w:szCs w:val="20"/>
        </w:rPr>
      </w:pPr>
      <w:r>
        <w:rPr>
          <w:rFonts w:cs="Times New Roman"/>
          <w:sz w:val="20"/>
          <w:szCs w:val="20"/>
        </w:rPr>
        <w:t xml:space="preserve">In NLoS scenarios, it is evident that the shadow fading is notably higher than in LoS scenarios. This is attributable to the </w:t>
      </w:r>
      <w:r>
        <w:rPr>
          <w:rFonts w:hint="eastAsia" w:cs="Times New Roman"/>
          <w:sz w:val="20"/>
          <w:szCs w:val="20"/>
        </w:rPr>
        <w:t>larger</w:t>
      </w:r>
      <w:r>
        <w:rPr>
          <w:rFonts w:cs="Times New Roman"/>
          <w:sz w:val="20"/>
          <w:szCs w:val="20"/>
        </w:rPr>
        <w:t xml:space="preserve"> number of multipaths and more pronounced channel variations in NLoS conditions. Furthermore, it is observed that around a distance of 100 m, there is a dramatic change in path loss, with a rapid increase corresponding to Measurement Route N3. This route experiences NLoS primarily due to tree blockages, and there is a small building obstruction along the route that causes a noticeable increase in path loss at that location.</w:t>
      </w:r>
    </w:p>
    <w:p w14:paraId="46FBF9FE">
      <w:pPr>
        <w:jc w:val="center"/>
        <w:rPr>
          <w:rFonts w:cs="Times New Roman"/>
          <w:sz w:val="20"/>
          <w:szCs w:val="20"/>
        </w:rPr>
      </w:pPr>
      <w:r>
        <w:rPr>
          <w:rFonts w:cs="Times New Roman"/>
          <w:sz w:val="20"/>
          <w:szCs w:val="20"/>
        </w:rPr>
        <w:drawing>
          <wp:inline distT="0" distB="0" distL="0" distR="0">
            <wp:extent cx="2627630" cy="2138045"/>
            <wp:effectExtent l="0" t="0" r="127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2628000" cy="2138648"/>
                    </a:xfrm>
                    <a:prstGeom prst="rect">
                      <a:avLst/>
                    </a:prstGeom>
                    <a:noFill/>
                    <a:ln>
                      <a:noFill/>
                    </a:ln>
                  </pic:spPr>
                </pic:pic>
              </a:graphicData>
            </a:graphic>
          </wp:inline>
        </w:drawing>
      </w:r>
      <w:r>
        <w:rPr>
          <w:rFonts w:cs="Times New Roman"/>
          <w:sz w:val="20"/>
          <w:szCs w:val="20"/>
        </w:rPr>
        <w:drawing>
          <wp:inline distT="0" distB="0" distL="0" distR="0">
            <wp:extent cx="2627630" cy="2102485"/>
            <wp:effectExtent l="0" t="0" r="127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2628000" cy="2103119"/>
                    </a:xfrm>
                    <a:prstGeom prst="rect">
                      <a:avLst/>
                    </a:prstGeom>
                    <a:noFill/>
                    <a:ln>
                      <a:noFill/>
                    </a:ln>
                  </pic:spPr>
                </pic:pic>
              </a:graphicData>
            </a:graphic>
          </wp:inline>
        </w:drawing>
      </w:r>
    </w:p>
    <w:p w14:paraId="165AD18E">
      <w:pPr>
        <w:keepNext/>
        <w:jc w:val="center"/>
        <w:rPr>
          <w:rFonts w:cs="Times New Roman"/>
          <w:sz w:val="20"/>
          <w:szCs w:val="20"/>
        </w:rPr>
      </w:pPr>
      <w:r>
        <w:rPr>
          <w:rFonts w:hint="eastAsia" w:cs="Times New Roman"/>
          <w:sz w:val="20"/>
          <w:szCs w:val="20"/>
        </w:rPr>
        <w:t>(</w:t>
      </w:r>
      <w:r>
        <w:rPr>
          <w:rFonts w:cs="Times New Roman"/>
          <w:sz w:val="20"/>
          <w:szCs w:val="20"/>
        </w:rPr>
        <w:t>a)                                       (b)</w:t>
      </w:r>
    </w:p>
    <w:p w14:paraId="0FC059EB">
      <w:pPr>
        <w:pStyle w:val="5"/>
        <w:jc w:val="center"/>
      </w:pPr>
      <w:bookmarkStart w:id="4" w:name="_Ref177635545"/>
      <w:r>
        <w:t xml:space="preserve">Fig. </w:t>
      </w:r>
      <w:r>
        <w:fldChar w:fldCharType="begin"/>
      </w:r>
      <w:r>
        <w:instrText xml:space="preserve"> SEQ Fig. \* ARABIC </w:instrText>
      </w:r>
      <w:r>
        <w:fldChar w:fldCharType="separate"/>
      </w:r>
      <w:r>
        <w:t>2</w:t>
      </w:r>
      <w:r>
        <w:fldChar w:fldCharType="end"/>
      </w:r>
      <w:bookmarkEnd w:id="4"/>
      <w:r>
        <w:t xml:space="preserve">. Path loss at different frequency bands in (a) LoS and (b) NLoS </w:t>
      </w:r>
      <w:r>
        <w:rPr>
          <w:rFonts w:hint="eastAsia"/>
        </w:rPr>
        <w:t>sce</w:t>
      </w:r>
      <w:r>
        <w:t>narios.</w:t>
      </w:r>
    </w:p>
    <w:p w14:paraId="685A867D">
      <w:pPr>
        <w:rPr>
          <w:sz w:val="20"/>
          <w:szCs w:val="20"/>
        </w:rPr>
      </w:pPr>
    </w:p>
    <w:p w14:paraId="5F47A5B9">
      <w:pPr>
        <w:pStyle w:val="5"/>
        <w:keepNext/>
        <w:jc w:val="center"/>
      </w:pPr>
      <w:bookmarkStart w:id="5" w:name="_Ref177635731"/>
      <w:r>
        <w:t xml:space="preserve">Table </w:t>
      </w:r>
      <w:r>
        <w:fldChar w:fldCharType="begin"/>
      </w:r>
      <w:r>
        <w:instrText xml:space="preserve"> SEQ Table \* ARABIC </w:instrText>
      </w:r>
      <w:r>
        <w:fldChar w:fldCharType="separate"/>
      </w:r>
      <w:r>
        <w:t>1</w:t>
      </w:r>
      <w:r>
        <w:fldChar w:fldCharType="end"/>
      </w:r>
      <w:bookmarkEnd w:id="5"/>
      <w:r>
        <w:t xml:space="preserve">. Path loss model fitting parameters at different frequency bands [1]. </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0"/>
        <w:gridCol w:w="1971"/>
        <w:gridCol w:w="1971"/>
        <w:gridCol w:w="1971"/>
        <w:gridCol w:w="1971"/>
      </w:tblGrid>
      <w:tr w14:paraId="712B2FE9">
        <w:tc>
          <w:tcPr>
            <w:tcW w:w="1000" w:type="pct"/>
            <w:vAlign w:val="center"/>
          </w:tcPr>
          <w:p w14:paraId="2DDABF56">
            <w:pPr>
              <w:autoSpaceDE w:val="0"/>
              <w:autoSpaceDN w:val="0"/>
              <w:adjustRightInd w:val="0"/>
              <w:spacing w:line="240" w:lineRule="auto"/>
              <w:jc w:val="center"/>
              <w:rPr>
                <w:rFonts w:cs="Times New Roman"/>
                <w:sz w:val="20"/>
                <w:szCs w:val="20"/>
              </w:rPr>
            </w:pPr>
            <w:r>
              <w:rPr>
                <w:rFonts w:cs="Times New Roman"/>
                <w:sz w:val="20"/>
                <w:szCs w:val="20"/>
              </w:rPr>
              <w:t>Frequency (GHz)</w:t>
            </w:r>
          </w:p>
        </w:tc>
        <w:tc>
          <w:tcPr>
            <w:tcW w:w="1000" w:type="pct"/>
            <w:vAlign w:val="center"/>
          </w:tcPr>
          <w:p w14:paraId="3BEB2254">
            <w:pPr>
              <w:autoSpaceDE w:val="0"/>
              <w:autoSpaceDN w:val="0"/>
              <w:adjustRightInd w:val="0"/>
              <w:spacing w:line="240" w:lineRule="auto"/>
              <w:jc w:val="center"/>
              <w:rPr>
                <w:rFonts w:cs="Times New Roman"/>
                <w:sz w:val="20"/>
                <w:szCs w:val="20"/>
              </w:rPr>
            </w:pPr>
            <m:oMath>
              <m:r>
                <m:rPr/>
                <w:rPr>
                  <w:rFonts w:ascii="Cambria Math" w:hAnsi="Cambria Math" w:cs="Times New Roman"/>
                  <w:sz w:val="20"/>
                  <w:szCs w:val="20"/>
                </w:rPr>
                <m:t>PL</m:t>
              </m:r>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m:rPr/>
                        <w:rPr>
                          <w:rFonts w:ascii="Cambria Math" w:hAnsi="Cambria Math" w:cs="Times New Roman"/>
                          <w:sz w:val="20"/>
                          <w:szCs w:val="20"/>
                        </w:rPr>
                        <m:t>d</m:t>
                      </m:r>
                      <m:ctrlPr>
                        <w:rPr>
                          <w:rFonts w:ascii="Cambria Math" w:hAnsi="Cambria Math" w:cs="Times New Roman"/>
                          <w:i/>
                          <w:sz w:val="20"/>
                          <w:szCs w:val="20"/>
                        </w:rPr>
                      </m:ctrlPr>
                    </m:e>
                    <m:sub>
                      <m:r>
                        <m:rPr/>
                        <w:rPr>
                          <w:rFonts w:ascii="Cambria Math" w:hAnsi="Cambria Math" w:cs="Times New Roman"/>
                          <w:sz w:val="20"/>
                          <w:szCs w:val="20"/>
                        </w:rPr>
                        <m:t>0</m:t>
                      </m:r>
                      <m:ctrlPr>
                        <w:rPr>
                          <w:rFonts w:ascii="Cambria Math" w:hAnsi="Cambria Math" w:cs="Times New Roman"/>
                          <w:i/>
                          <w:sz w:val="20"/>
                          <w:szCs w:val="20"/>
                        </w:rPr>
                      </m:ctrlPr>
                    </m:sub>
                  </m:sSub>
                  <m:ctrlPr>
                    <w:rPr>
                      <w:rFonts w:ascii="Cambria Math" w:hAnsi="Cambria Math" w:cs="Times New Roman"/>
                      <w:i/>
                      <w:sz w:val="20"/>
                      <w:szCs w:val="20"/>
                    </w:rPr>
                  </m:ctrlPr>
                </m:e>
              </m:d>
            </m:oMath>
            <w:r>
              <w:rPr>
                <w:rFonts w:cs="Times New Roman"/>
                <w:sz w:val="20"/>
                <w:szCs w:val="20"/>
              </w:rPr>
              <w:t xml:space="preserve"> (dB)</w:t>
            </w:r>
          </w:p>
        </w:tc>
        <w:tc>
          <w:tcPr>
            <w:tcW w:w="1000" w:type="pct"/>
            <w:vAlign w:val="center"/>
          </w:tcPr>
          <w:p w14:paraId="4690D36C">
            <w:pPr>
              <w:autoSpaceDE w:val="0"/>
              <w:autoSpaceDN w:val="0"/>
              <w:adjustRightInd w:val="0"/>
              <w:spacing w:line="240" w:lineRule="auto"/>
              <w:jc w:val="center"/>
              <w:rPr>
                <w:rFonts w:cs="Times New Roman"/>
                <w:sz w:val="20"/>
                <w:szCs w:val="20"/>
              </w:rPr>
            </w:pPr>
            <w:r>
              <w:rPr>
                <w:rFonts w:cs="Times New Roman"/>
                <w:sz w:val="20"/>
                <w:szCs w:val="20"/>
              </w:rPr>
              <w:t>LoS/NLoS</w:t>
            </w:r>
          </w:p>
        </w:tc>
        <w:tc>
          <w:tcPr>
            <w:tcW w:w="1000" w:type="pct"/>
            <w:vAlign w:val="center"/>
          </w:tcPr>
          <w:p w14:paraId="3D0BA715">
            <w:pPr>
              <w:autoSpaceDE w:val="0"/>
              <w:autoSpaceDN w:val="0"/>
              <w:adjustRightInd w:val="0"/>
              <w:spacing w:line="240" w:lineRule="auto"/>
              <w:jc w:val="center"/>
              <w:rPr>
                <w:rFonts w:cs="Times New Roman"/>
                <w:i/>
                <w:iCs/>
                <w:sz w:val="20"/>
                <w:szCs w:val="20"/>
              </w:rPr>
            </w:pPr>
            <w:r>
              <w:rPr>
                <w:rFonts w:cs="Times New Roman"/>
                <w:i/>
                <w:iCs/>
                <w:sz w:val="20"/>
                <w:szCs w:val="20"/>
              </w:rPr>
              <w:t>n</w:t>
            </w:r>
          </w:p>
        </w:tc>
        <w:tc>
          <w:tcPr>
            <w:tcW w:w="1000" w:type="pct"/>
            <w:vAlign w:val="center"/>
          </w:tcPr>
          <w:p w14:paraId="0315AA19">
            <w:pPr>
              <w:autoSpaceDE w:val="0"/>
              <w:autoSpaceDN w:val="0"/>
              <w:adjustRightInd w:val="0"/>
              <w:spacing w:line="240" w:lineRule="auto"/>
              <w:jc w:val="center"/>
              <w:rPr>
                <w:rFonts w:cs="Times New Roman"/>
                <w:sz w:val="20"/>
                <w:szCs w:val="20"/>
              </w:rPr>
            </w:pPr>
            <m:oMath>
              <m:r>
                <m:rPr/>
                <w:rPr>
                  <w:rFonts w:ascii="Cambria Math" w:hAnsi="Cambria Math" w:cs="Times New Roman"/>
                  <w:sz w:val="20"/>
                  <w:szCs w:val="20"/>
                </w:rPr>
                <m:t>σ</m:t>
              </m:r>
            </m:oMath>
            <w:r>
              <w:rPr>
                <w:rFonts w:cs="Times New Roman"/>
                <w:sz w:val="20"/>
                <w:szCs w:val="20"/>
              </w:rPr>
              <w:t xml:space="preserve"> (dB)</w:t>
            </w:r>
          </w:p>
        </w:tc>
      </w:tr>
      <w:tr w14:paraId="4086EE49">
        <w:tc>
          <w:tcPr>
            <w:tcW w:w="1000" w:type="pct"/>
            <w:vMerge w:val="restart"/>
            <w:vAlign w:val="center"/>
          </w:tcPr>
          <w:p w14:paraId="20D9EBA5">
            <w:pPr>
              <w:autoSpaceDE w:val="0"/>
              <w:autoSpaceDN w:val="0"/>
              <w:adjustRightInd w:val="0"/>
              <w:spacing w:line="240" w:lineRule="auto"/>
              <w:jc w:val="center"/>
              <w:rPr>
                <w:rFonts w:cs="Times New Roman"/>
                <w:sz w:val="20"/>
                <w:szCs w:val="20"/>
              </w:rPr>
            </w:pPr>
            <w:r>
              <w:rPr>
                <w:rFonts w:cs="Times New Roman"/>
                <w:sz w:val="20"/>
                <w:szCs w:val="20"/>
              </w:rPr>
              <w:t>7</w:t>
            </w:r>
          </w:p>
        </w:tc>
        <w:tc>
          <w:tcPr>
            <w:tcW w:w="1000" w:type="pct"/>
            <w:vMerge w:val="restart"/>
            <w:vAlign w:val="center"/>
          </w:tcPr>
          <w:p w14:paraId="6331D602">
            <w:pPr>
              <w:autoSpaceDE w:val="0"/>
              <w:autoSpaceDN w:val="0"/>
              <w:adjustRightInd w:val="0"/>
              <w:spacing w:line="240" w:lineRule="auto"/>
              <w:jc w:val="center"/>
              <w:rPr>
                <w:rFonts w:cs="Times New Roman"/>
                <w:sz w:val="20"/>
                <w:szCs w:val="20"/>
              </w:rPr>
            </w:pPr>
            <w:r>
              <w:rPr>
                <w:rFonts w:cs="Times New Roman"/>
                <w:sz w:val="20"/>
                <w:szCs w:val="20"/>
              </w:rPr>
              <w:t>49.34</w:t>
            </w:r>
          </w:p>
        </w:tc>
        <w:tc>
          <w:tcPr>
            <w:tcW w:w="1000" w:type="pct"/>
            <w:vAlign w:val="center"/>
          </w:tcPr>
          <w:p w14:paraId="09EBE5FE">
            <w:pPr>
              <w:autoSpaceDE w:val="0"/>
              <w:autoSpaceDN w:val="0"/>
              <w:adjustRightInd w:val="0"/>
              <w:spacing w:line="240" w:lineRule="auto"/>
              <w:jc w:val="center"/>
              <w:rPr>
                <w:rFonts w:cs="Times New Roman"/>
                <w:sz w:val="20"/>
                <w:szCs w:val="20"/>
              </w:rPr>
            </w:pPr>
            <w:r>
              <w:rPr>
                <w:rFonts w:cs="Times New Roman"/>
                <w:sz w:val="20"/>
                <w:szCs w:val="20"/>
              </w:rPr>
              <w:t>LoS</w:t>
            </w:r>
          </w:p>
        </w:tc>
        <w:tc>
          <w:tcPr>
            <w:tcW w:w="1000" w:type="pct"/>
            <w:vAlign w:val="center"/>
          </w:tcPr>
          <w:p w14:paraId="39E2FDE4">
            <w:pPr>
              <w:autoSpaceDE w:val="0"/>
              <w:autoSpaceDN w:val="0"/>
              <w:adjustRightInd w:val="0"/>
              <w:spacing w:line="240" w:lineRule="auto"/>
              <w:jc w:val="center"/>
              <w:rPr>
                <w:rFonts w:cs="Times New Roman"/>
                <w:sz w:val="20"/>
                <w:szCs w:val="20"/>
              </w:rPr>
            </w:pPr>
            <w:r>
              <w:rPr>
                <w:rFonts w:cs="Times New Roman"/>
                <w:sz w:val="20"/>
                <w:szCs w:val="20"/>
              </w:rPr>
              <w:t>1.32</w:t>
            </w:r>
          </w:p>
        </w:tc>
        <w:tc>
          <w:tcPr>
            <w:tcW w:w="1000" w:type="pct"/>
            <w:vAlign w:val="center"/>
          </w:tcPr>
          <w:p w14:paraId="5432EBA5">
            <w:pPr>
              <w:autoSpaceDE w:val="0"/>
              <w:autoSpaceDN w:val="0"/>
              <w:adjustRightInd w:val="0"/>
              <w:spacing w:line="240" w:lineRule="auto"/>
              <w:jc w:val="center"/>
              <w:rPr>
                <w:rFonts w:cs="Times New Roman"/>
                <w:sz w:val="20"/>
                <w:szCs w:val="20"/>
              </w:rPr>
            </w:pPr>
            <w:r>
              <w:rPr>
                <w:rFonts w:cs="Times New Roman"/>
                <w:sz w:val="20"/>
                <w:szCs w:val="20"/>
              </w:rPr>
              <w:t>2.79</w:t>
            </w:r>
          </w:p>
        </w:tc>
      </w:tr>
      <w:tr w14:paraId="474E3482">
        <w:tc>
          <w:tcPr>
            <w:tcW w:w="1000" w:type="pct"/>
            <w:vMerge w:val="continue"/>
            <w:vAlign w:val="center"/>
          </w:tcPr>
          <w:p w14:paraId="13703C17">
            <w:pPr>
              <w:autoSpaceDE w:val="0"/>
              <w:autoSpaceDN w:val="0"/>
              <w:adjustRightInd w:val="0"/>
              <w:spacing w:line="240" w:lineRule="auto"/>
              <w:jc w:val="center"/>
              <w:rPr>
                <w:rFonts w:cs="Times New Roman"/>
                <w:sz w:val="20"/>
                <w:szCs w:val="20"/>
              </w:rPr>
            </w:pPr>
          </w:p>
        </w:tc>
        <w:tc>
          <w:tcPr>
            <w:tcW w:w="1000" w:type="pct"/>
            <w:vMerge w:val="continue"/>
            <w:vAlign w:val="center"/>
          </w:tcPr>
          <w:p w14:paraId="53BE0277">
            <w:pPr>
              <w:autoSpaceDE w:val="0"/>
              <w:autoSpaceDN w:val="0"/>
              <w:adjustRightInd w:val="0"/>
              <w:spacing w:line="240" w:lineRule="auto"/>
              <w:jc w:val="center"/>
              <w:rPr>
                <w:rFonts w:cs="Times New Roman"/>
                <w:sz w:val="20"/>
                <w:szCs w:val="20"/>
              </w:rPr>
            </w:pPr>
          </w:p>
        </w:tc>
        <w:tc>
          <w:tcPr>
            <w:tcW w:w="1000" w:type="pct"/>
            <w:vAlign w:val="center"/>
          </w:tcPr>
          <w:p w14:paraId="3B716D57">
            <w:pPr>
              <w:autoSpaceDE w:val="0"/>
              <w:autoSpaceDN w:val="0"/>
              <w:adjustRightInd w:val="0"/>
              <w:spacing w:line="240" w:lineRule="auto"/>
              <w:jc w:val="center"/>
              <w:rPr>
                <w:rFonts w:cs="Times New Roman"/>
                <w:sz w:val="20"/>
                <w:szCs w:val="20"/>
              </w:rPr>
            </w:pPr>
            <w:r>
              <w:rPr>
                <w:rFonts w:cs="Times New Roman"/>
                <w:sz w:val="20"/>
                <w:szCs w:val="20"/>
              </w:rPr>
              <w:t>NLoS</w:t>
            </w:r>
          </w:p>
        </w:tc>
        <w:tc>
          <w:tcPr>
            <w:tcW w:w="1000" w:type="pct"/>
            <w:vAlign w:val="center"/>
          </w:tcPr>
          <w:p w14:paraId="097C81D8">
            <w:pPr>
              <w:autoSpaceDE w:val="0"/>
              <w:autoSpaceDN w:val="0"/>
              <w:adjustRightInd w:val="0"/>
              <w:spacing w:line="240" w:lineRule="auto"/>
              <w:jc w:val="center"/>
              <w:rPr>
                <w:rFonts w:cs="Times New Roman"/>
                <w:sz w:val="20"/>
                <w:szCs w:val="20"/>
              </w:rPr>
            </w:pPr>
            <w:r>
              <w:rPr>
                <w:rFonts w:cs="Times New Roman"/>
                <w:sz w:val="20"/>
                <w:szCs w:val="20"/>
              </w:rPr>
              <w:t>2.02</w:t>
            </w:r>
          </w:p>
        </w:tc>
        <w:tc>
          <w:tcPr>
            <w:tcW w:w="1000" w:type="pct"/>
            <w:vAlign w:val="center"/>
          </w:tcPr>
          <w:p w14:paraId="088DE9C7">
            <w:pPr>
              <w:autoSpaceDE w:val="0"/>
              <w:autoSpaceDN w:val="0"/>
              <w:adjustRightInd w:val="0"/>
              <w:spacing w:line="240" w:lineRule="auto"/>
              <w:jc w:val="center"/>
              <w:rPr>
                <w:rFonts w:cs="Times New Roman"/>
                <w:sz w:val="20"/>
                <w:szCs w:val="20"/>
              </w:rPr>
            </w:pPr>
            <w:r>
              <w:rPr>
                <w:rFonts w:cs="Times New Roman"/>
                <w:sz w:val="20"/>
                <w:szCs w:val="20"/>
              </w:rPr>
              <w:t>5.02</w:t>
            </w:r>
          </w:p>
        </w:tc>
      </w:tr>
      <w:tr w14:paraId="5A1AB96F">
        <w:tc>
          <w:tcPr>
            <w:tcW w:w="1000" w:type="pct"/>
            <w:vMerge w:val="restart"/>
            <w:vAlign w:val="center"/>
          </w:tcPr>
          <w:p w14:paraId="1E41486E">
            <w:pPr>
              <w:autoSpaceDE w:val="0"/>
              <w:autoSpaceDN w:val="0"/>
              <w:adjustRightInd w:val="0"/>
              <w:spacing w:line="240" w:lineRule="auto"/>
              <w:jc w:val="center"/>
              <w:rPr>
                <w:rFonts w:cs="Times New Roman"/>
                <w:sz w:val="20"/>
                <w:szCs w:val="20"/>
              </w:rPr>
            </w:pPr>
            <w:r>
              <w:rPr>
                <w:rFonts w:cs="Times New Roman"/>
                <w:sz w:val="20"/>
                <w:szCs w:val="20"/>
              </w:rPr>
              <w:t>10</w:t>
            </w:r>
          </w:p>
        </w:tc>
        <w:tc>
          <w:tcPr>
            <w:tcW w:w="1000" w:type="pct"/>
            <w:vMerge w:val="restart"/>
            <w:vAlign w:val="center"/>
          </w:tcPr>
          <w:p w14:paraId="49845856">
            <w:pPr>
              <w:autoSpaceDE w:val="0"/>
              <w:autoSpaceDN w:val="0"/>
              <w:adjustRightInd w:val="0"/>
              <w:spacing w:line="240" w:lineRule="auto"/>
              <w:jc w:val="center"/>
              <w:rPr>
                <w:rFonts w:cs="Times New Roman"/>
                <w:sz w:val="20"/>
                <w:szCs w:val="20"/>
              </w:rPr>
            </w:pPr>
            <w:r>
              <w:rPr>
                <w:rFonts w:cs="Times New Roman"/>
                <w:sz w:val="20"/>
                <w:szCs w:val="20"/>
              </w:rPr>
              <w:t>52.44</w:t>
            </w:r>
          </w:p>
        </w:tc>
        <w:tc>
          <w:tcPr>
            <w:tcW w:w="1000" w:type="pct"/>
            <w:vAlign w:val="center"/>
          </w:tcPr>
          <w:p w14:paraId="753DB3CE">
            <w:pPr>
              <w:autoSpaceDE w:val="0"/>
              <w:autoSpaceDN w:val="0"/>
              <w:adjustRightInd w:val="0"/>
              <w:spacing w:line="240" w:lineRule="auto"/>
              <w:jc w:val="center"/>
              <w:rPr>
                <w:rFonts w:cs="Times New Roman"/>
                <w:sz w:val="20"/>
                <w:szCs w:val="20"/>
              </w:rPr>
            </w:pPr>
            <w:r>
              <w:rPr>
                <w:rFonts w:cs="Times New Roman"/>
                <w:sz w:val="20"/>
                <w:szCs w:val="20"/>
              </w:rPr>
              <w:t>LoS</w:t>
            </w:r>
          </w:p>
        </w:tc>
        <w:tc>
          <w:tcPr>
            <w:tcW w:w="1000" w:type="pct"/>
            <w:vAlign w:val="center"/>
          </w:tcPr>
          <w:p w14:paraId="5B27DA7F">
            <w:pPr>
              <w:autoSpaceDE w:val="0"/>
              <w:autoSpaceDN w:val="0"/>
              <w:adjustRightInd w:val="0"/>
              <w:spacing w:line="240" w:lineRule="auto"/>
              <w:jc w:val="center"/>
              <w:rPr>
                <w:rFonts w:cs="Times New Roman"/>
                <w:sz w:val="20"/>
                <w:szCs w:val="20"/>
              </w:rPr>
            </w:pPr>
            <w:r>
              <w:rPr>
                <w:rFonts w:cs="Times New Roman"/>
                <w:sz w:val="20"/>
                <w:szCs w:val="20"/>
              </w:rPr>
              <w:t>1.37</w:t>
            </w:r>
          </w:p>
        </w:tc>
        <w:tc>
          <w:tcPr>
            <w:tcW w:w="1000" w:type="pct"/>
            <w:vAlign w:val="center"/>
          </w:tcPr>
          <w:p w14:paraId="22F6334C">
            <w:pPr>
              <w:autoSpaceDE w:val="0"/>
              <w:autoSpaceDN w:val="0"/>
              <w:adjustRightInd w:val="0"/>
              <w:spacing w:line="240" w:lineRule="auto"/>
              <w:jc w:val="center"/>
              <w:rPr>
                <w:rFonts w:cs="Times New Roman"/>
                <w:sz w:val="20"/>
                <w:szCs w:val="20"/>
              </w:rPr>
            </w:pPr>
            <w:r>
              <w:rPr>
                <w:rFonts w:cs="Times New Roman"/>
                <w:sz w:val="20"/>
                <w:szCs w:val="20"/>
              </w:rPr>
              <w:t>2.29</w:t>
            </w:r>
          </w:p>
        </w:tc>
      </w:tr>
      <w:tr w14:paraId="3EE250C5">
        <w:tc>
          <w:tcPr>
            <w:tcW w:w="1000" w:type="pct"/>
            <w:vMerge w:val="continue"/>
            <w:vAlign w:val="center"/>
          </w:tcPr>
          <w:p w14:paraId="4E48B476">
            <w:pPr>
              <w:autoSpaceDE w:val="0"/>
              <w:autoSpaceDN w:val="0"/>
              <w:adjustRightInd w:val="0"/>
              <w:spacing w:line="240" w:lineRule="auto"/>
              <w:jc w:val="center"/>
              <w:rPr>
                <w:rFonts w:cs="Times New Roman"/>
                <w:sz w:val="20"/>
                <w:szCs w:val="20"/>
              </w:rPr>
            </w:pPr>
          </w:p>
        </w:tc>
        <w:tc>
          <w:tcPr>
            <w:tcW w:w="1000" w:type="pct"/>
            <w:vMerge w:val="continue"/>
            <w:vAlign w:val="center"/>
          </w:tcPr>
          <w:p w14:paraId="563FE43D">
            <w:pPr>
              <w:autoSpaceDE w:val="0"/>
              <w:autoSpaceDN w:val="0"/>
              <w:adjustRightInd w:val="0"/>
              <w:spacing w:line="240" w:lineRule="auto"/>
              <w:jc w:val="center"/>
              <w:rPr>
                <w:rFonts w:cs="Times New Roman"/>
                <w:sz w:val="20"/>
                <w:szCs w:val="20"/>
              </w:rPr>
            </w:pPr>
          </w:p>
        </w:tc>
        <w:tc>
          <w:tcPr>
            <w:tcW w:w="1000" w:type="pct"/>
            <w:vAlign w:val="center"/>
          </w:tcPr>
          <w:p w14:paraId="6C23DC0A">
            <w:pPr>
              <w:autoSpaceDE w:val="0"/>
              <w:autoSpaceDN w:val="0"/>
              <w:adjustRightInd w:val="0"/>
              <w:spacing w:line="240" w:lineRule="auto"/>
              <w:jc w:val="center"/>
              <w:rPr>
                <w:rFonts w:cs="Times New Roman"/>
                <w:sz w:val="20"/>
                <w:szCs w:val="20"/>
              </w:rPr>
            </w:pPr>
            <w:r>
              <w:rPr>
                <w:rFonts w:cs="Times New Roman"/>
                <w:sz w:val="20"/>
                <w:szCs w:val="20"/>
              </w:rPr>
              <w:t>NLoS</w:t>
            </w:r>
          </w:p>
        </w:tc>
        <w:tc>
          <w:tcPr>
            <w:tcW w:w="1000" w:type="pct"/>
            <w:vAlign w:val="center"/>
          </w:tcPr>
          <w:p w14:paraId="36BD4A58">
            <w:pPr>
              <w:autoSpaceDE w:val="0"/>
              <w:autoSpaceDN w:val="0"/>
              <w:adjustRightInd w:val="0"/>
              <w:spacing w:line="240" w:lineRule="auto"/>
              <w:jc w:val="center"/>
              <w:rPr>
                <w:rFonts w:cs="Times New Roman"/>
                <w:sz w:val="20"/>
                <w:szCs w:val="20"/>
              </w:rPr>
            </w:pPr>
            <w:r>
              <w:rPr>
                <w:rFonts w:cs="Times New Roman"/>
                <w:sz w:val="20"/>
                <w:szCs w:val="20"/>
              </w:rPr>
              <w:t>2.04</w:t>
            </w:r>
          </w:p>
        </w:tc>
        <w:tc>
          <w:tcPr>
            <w:tcW w:w="1000" w:type="pct"/>
            <w:vAlign w:val="center"/>
          </w:tcPr>
          <w:p w14:paraId="16D9DC3A">
            <w:pPr>
              <w:autoSpaceDE w:val="0"/>
              <w:autoSpaceDN w:val="0"/>
              <w:adjustRightInd w:val="0"/>
              <w:spacing w:line="240" w:lineRule="auto"/>
              <w:jc w:val="center"/>
              <w:rPr>
                <w:rFonts w:cs="Times New Roman"/>
                <w:sz w:val="20"/>
                <w:szCs w:val="20"/>
              </w:rPr>
            </w:pPr>
            <w:r>
              <w:rPr>
                <w:rFonts w:cs="Times New Roman"/>
                <w:sz w:val="20"/>
                <w:szCs w:val="20"/>
              </w:rPr>
              <w:t>5.34</w:t>
            </w:r>
          </w:p>
        </w:tc>
      </w:tr>
      <w:tr w14:paraId="0B58E662">
        <w:tc>
          <w:tcPr>
            <w:tcW w:w="1000" w:type="pct"/>
            <w:vMerge w:val="restart"/>
            <w:vAlign w:val="center"/>
          </w:tcPr>
          <w:p w14:paraId="0B417C26">
            <w:pPr>
              <w:autoSpaceDE w:val="0"/>
              <w:autoSpaceDN w:val="0"/>
              <w:adjustRightInd w:val="0"/>
              <w:spacing w:line="240" w:lineRule="auto"/>
              <w:jc w:val="center"/>
              <w:rPr>
                <w:rFonts w:cs="Times New Roman"/>
                <w:sz w:val="20"/>
                <w:szCs w:val="20"/>
              </w:rPr>
            </w:pPr>
            <w:r>
              <w:rPr>
                <w:rFonts w:cs="Times New Roman"/>
                <w:sz w:val="20"/>
                <w:szCs w:val="20"/>
              </w:rPr>
              <w:t>13</w:t>
            </w:r>
          </w:p>
        </w:tc>
        <w:tc>
          <w:tcPr>
            <w:tcW w:w="1000" w:type="pct"/>
            <w:vMerge w:val="restart"/>
            <w:vAlign w:val="center"/>
          </w:tcPr>
          <w:p w14:paraId="6A446477">
            <w:pPr>
              <w:autoSpaceDE w:val="0"/>
              <w:autoSpaceDN w:val="0"/>
              <w:adjustRightInd w:val="0"/>
              <w:spacing w:line="240" w:lineRule="auto"/>
              <w:jc w:val="center"/>
              <w:rPr>
                <w:rFonts w:cs="Times New Roman"/>
                <w:sz w:val="20"/>
                <w:szCs w:val="20"/>
              </w:rPr>
            </w:pPr>
            <w:r>
              <w:rPr>
                <w:rFonts w:cs="Times New Roman"/>
                <w:sz w:val="20"/>
                <w:szCs w:val="20"/>
              </w:rPr>
              <w:t>54.72</w:t>
            </w:r>
          </w:p>
        </w:tc>
        <w:tc>
          <w:tcPr>
            <w:tcW w:w="1000" w:type="pct"/>
            <w:vAlign w:val="center"/>
          </w:tcPr>
          <w:p w14:paraId="5CCF1EF1">
            <w:pPr>
              <w:autoSpaceDE w:val="0"/>
              <w:autoSpaceDN w:val="0"/>
              <w:adjustRightInd w:val="0"/>
              <w:spacing w:line="240" w:lineRule="auto"/>
              <w:jc w:val="center"/>
              <w:rPr>
                <w:rFonts w:cs="Times New Roman"/>
                <w:sz w:val="20"/>
                <w:szCs w:val="20"/>
              </w:rPr>
            </w:pPr>
            <w:r>
              <w:rPr>
                <w:rFonts w:cs="Times New Roman"/>
                <w:sz w:val="20"/>
                <w:szCs w:val="20"/>
              </w:rPr>
              <w:t>LoS</w:t>
            </w:r>
          </w:p>
        </w:tc>
        <w:tc>
          <w:tcPr>
            <w:tcW w:w="1000" w:type="pct"/>
            <w:vAlign w:val="center"/>
          </w:tcPr>
          <w:p w14:paraId="10E2EB1B">
            <w:pPr>
              <w:autoSpaceDE w:val="0"/>
              <w:autoSpaceDN w:val="0"/>
              <w:adjustRightInd w:val="0"/>
              <w:spacing w:line="240" w:lineRule="auto"/>
              <w:jc w:val="center"/>
              <w:rPr>
                <w:rFonts w:cs="Times New Roman"/>
                <w:sz w:val="20"/>
                <w:szCs w:val="20"/>
              </w:rPr>
            </w:pPr>
            <w:r>
              <w:rPr>
                <w:rFonts w:cs="Times New Roman"/>
                <w:sz w:val="20"/>
                <w:szCs w:val="20"/>
              </w:rPr>
              <w:t>1.67</w:t>
            </w:r>
          </w:p>
        </w:tc>
        <w:tc>
          <w:tcPr>
            <w:tcW w:w="1000" w:type="pct"/>
            <w:vAlign w:val="center"/>
          </w:tcPr>
          <w:p w14:paraId="6C621F55">
            <w:pPr>
              <w:autoSpaceDE w:val="0"/>
              <w:autoSpaceDN w:val="0"/>
              <w:adjustRightInd w:val="0"/>
              <w:spacing w:line="240" w:lineRule="auto"/>
              <w:jc w:val="center"/>
              <w:rPr>
                <w:rFonts w:cs="Times New Roman"/>
                <w:sz w:val="20"/>
                <w:szCs w:val="20"/>
              </w:rPr>
            </w:pPr>
            <w:r>
              <w:rPr>
                <w:rFonts w:cs="Times New Roman"/>
                <w:sz w:val="20"/>
                <w:szCs w:val="20"/>
              </w:rPr>
              <w:t>2.92</w:t>
            </w:r>
          </w:p>
        </w:tc>
      </w:tr>
      <w:tr w14:paraId="7C4945B8">
        <w:tc>
          <w:tcPr>
            <w:tcW w:w="1000" w:type="pct"/>
            <w:vMerge w:val="continue"/>
            <w:vAlign w:val="center"/>
          </w:tcPr>
          <w:p w14:paraId="6C8B03A8">
            <w:pPr>
              <w:autoSpaceDE w:val="0"/>
              <w:autoSpaceDN w:val="0"/>
              <w:adjustRightInd w:val="0"/>
              <w:spacing w:line="240" w:lineRule="auto"/>
              <w:jc w:val="center"/>
              <w:rPr>
                <w:rFonts w:cs="Times New Roman"/>
                <w:sz w:val="20"/>
                <w:szCs w:val="20"/>
              </w:rPr>
            </w:pPr>
          </w:p>
        </w:tc>
        <w:tc>
          <w:tcPr>
            <w:tcW w:w="1000" w:type="pct"/>
            <w:vMerge w:val="continue"/>
            <w:vAlign w:val="center"/>
          </w:tcPr>
          <w:p w14:paraId="2C183DDE">
            <w:pPr>
              <w:autoSpaceDE w:val="0"/>
              <w:autoSpaceDN w:val="0"/>
              <w:adjustRightInd w:val="0"/>
              <w:spacing w:line="240" w:lineRule="auto"/>
              <w:jc w:val="center"/>
              <w:rPr>
                <w:rFonts w:cs="Times New Roman"/>
                <w:sz w:val="20"/>
                <w:szCs w:val="20"/>
              </w:rPr>
            </w:pPr>
          </w:p>
        </w:tc>
        <w:tc>
          <w:tcPr>
            <w:tcW w:w="1000" w:type="pct"/>
            <w:vAlign w:val="center"/>
          </w:tcPr>
          <w:p w14:paraId="390A2E9D">
            <w:pPr>
              <w:autoSpaceDE w:val="0"/>
              <w:autoSpaceDN w:val="0"/>
              <w:adjustRightInd w:val="0"/>
              <w:spacing w:line="240" w:lineRule="auto"/>
              <w:jc w:val="center"/>
              <w:rPr>
                <w:rFonts w:cs="Times New Roman"/>
                <w:sz w:val="20"/>
                <w:szCs w:val="20"/>
              </w:rPr>
            </w:pPr>
            <w:r>
              <w:rPr>
                <w:rFonts w:cs="Times New Roman"/>
                <w:sz w:val="20"/>
                <w:szCs w:val="20"/>
              </w:rPr>
              <w:t>NLoS</w:t>
            </w:r>
          </w:p>
        </w:tc>
        <w:tc>
          <w:tcPr>
            <w:tcW w:w="1000" w:type="pct"/>
            <w:vAlign w:val="center"/>
          </w:tcPr>
          <w:p w14:paraId="56AB0304">
            <w:pPr>
              <w:autoSpaceDE w:val="0"/>
              <w:autoSpaceDN w:val="0"/>
              <w:adjustRightInd w:val="0"/>
              <w:spacing w:line="240" w:lineRule="auto"/>
              <w:jc w:val="center"/>
              <w:rPr>
                <w:rFonts w:cs="Times New Roman"/>
                <w:sz w:val="20"/>
                <w:szCs w:val="20"/>
              </w:rPr>
            </w:pPr>
            <w:r>
              <w:rPr>
                <w:rFonts w:cs="Times New Roman"/>
                <w:sz w:val="20"/>
                <w:szCs w:val="20"/>
              </w:rPr>
              <w:t>2.19</w:t>
            </w:r>
          </w:p>
        </w:tc>
        <w:tc>
          <w:tcPr>
            <w:tcW w:w="1000" w:type="pct"/>
            <w:vAlign w:val="center"/>
          </w:tcPr>
          <w:p w14:paraId="799FA351">
            <w:pPr>
              <w:autoSpaceDE w:val="0"/>
              <w:autoSpaceDN w:val="0"/>
              <w:adjustRightInd w:val="0"/>
              <w:spacing w:line="240" w:lineRule="auto"/>
              <w:jc w:val="center"/>
              <w:rPr>
                <w:rFonts w:cs="Times New Roman"/>
                <w:sz w:val="20"/>
                <w:szCs w:val="20"/>
              </w:rPr>
            </w:pPr>
            <w:r>
              <w:rPr>
                <w:rFonts w:cs="Times New Roman"/>
                <w:sz w:val="20"/>
                <w:szCs w:val="20"/>
              </w:rPr>
              <w:t>5.86</w:t>
            </w:r>
          </w:p>
        </w:tc>
      </w:tr>
      <w:tr w14:paraId="17BBFC05">
        <w:trPr>
          <w:trHeight w:val="155" w:hRule="atLeast"/>
        </w:trPr>
        <w:tc>
          <w:tcPr>
            <w:tcW w:w="2000" w:type="pct"/>
            <w:gridSpan w:val="2"/>
            <w:vMerge w:val="restart"/>
            <w:vAlign w:val="center"/>
          </w:tcPr>
          <w:p w14:paraId="65725537">
            <w:pPr>
              <w:autoSpaceDE w:val="0"/>
              <w:autoSpaceDN w:val="0"/>
              <w:adjustRightInd w:val="0"/>
              <w:spacing w:line="240" w:lineRule="auto"/>
              <w:jc w:val="center"/>
              <w:rPr>
                <w:rFonts w:cs="Times New Roman"/>
                <w:sz w:val="20"/>
                <w:szCs w:val="20"/>
              </w:rPr>
            </w:pPr>
            <w:r>
              <w:rPr>
                <w:rFonts w:hint="eastAsia" w:cs="Times New Roman"/>
                <w:sz w:val="20"/>
                <w:szCs w:val="20"/>
              </w:rPr>
              <w:t>3</w:t>
            </w:r>
            <w:r>
              <w:rPr>
                <w:rFonts w:cs="Times New Roman"/>
                <w:sz w:val="20"/>
                <w:szCs w:val="20"/>
              </w:rPr>
              <w:t>GPP</w:t>
            </w:r>
          </w:p>
        </w:tc>
        <w:tc>
          <w:tcPr>
            <w:tcW w:w="1000" w:type="pct"/>
            <w:vAlign w:val="center"/>
          </w:tcPr>
          <w:p w14:paraId="6E3C0C26">
            <w:pPr>
              <w:autoSpaceDE w:val="0"/>
              <w:autoSpaceDN w:val="0"/>
              <w:adjustRightInd w:val="0"/>
              <w:spacing w:line="240" w:lineRule="auto"/>
              <w:jc w:val="center"/>
              <w:rPr>
                <w:rFonts w:cs="Times New Roman"/>
                <w:sz w:val="20"/>
                <w:szCs w:val="20"/>
              </w:rPr>
            </w:pPr>
            <w:r>
              <w:rPr>
                <w:rFonts w:cs="Times New Roman"/>
                <w:sz w:val="20"/>
                <w:szCs w:val="20"/>
              </w:rPr>
              <w:t>LoS</w:t>
            </w:r>
          </w:p>
        </w:tc>
        <w:tc>
          <w:tcPr>
            <w:tcW w:w="1000" w:type="pct"/>
            <w:vAlign w:val="center"/>
          </w:tcPr>
          <w:p w14:paraId="10AB0099">
            <w:pPr>
              <w:autoSpaceDE w:val="0"/>
              <w:autoSpaceDN w:val="0"/>
              <w:adjustRightInd w:val="0"/>
              <w:spacing w:line="240" w:lineRule="auto"/>
              <w:jc w:val="center"/>
              <w:rPr>
                <w:rFonts w:cs="Times New Roman"/>
                <w:sz w:val="20"/>
                <w:szCs w:val="20"/>
              </w:rPr>
            </w:pPr>
            <w:r>
              <w:rPr>
                <w:rFonts w:hint="eastAsia" w:cs="Times New Roman"/>
                <w:sz w:val="20"/>
                <w:szCs w:val="20"/>
              </w:rPr>
              <w:t>2</w:t>
            </w:r>
            <w:r>
              <w:rPr>
                <w:rFonts w:cs="Times New Roman"/>
                <w:sz w:val="20"/>
                <w:szCs w:val="20"/>
              </w:rPr>
              <w:t>.1</w:t>
            </w:r>
          </w:p>
        </w:tc>
        <w:tc>
          <w:tcPr>
            <w:tcW w:w="1000" w:type="pct"/>
            <w:vAlign w:val="center"/>
          </w:tcPr>
          <w:p w14:paraId="0B42AB8D">
            <w:pPr>
              <w:autoSpaceDE w:val="0"/>
              <w:autoSpaceDN w:val="0"/>
              <w:adjustRightInd w:val="0"/>
              <w:spacing w:line="240" w:lineRule="auto"/>
              <w:jc w:val="center"/>
              <w:rPr>
                <w:rFonts w:cs="Times New Roman"/>
                <w:sz w:val="20"/>
                <w:szCs w:val="20"/>
              </w:rPr>
            </w:pPr>
            <w:r>
              <w:rPr>
                <w:rFonts w:hint="eastAsia" w:cs="Times New Roman"/>
                <w:sz w:val="20"/>
                <w:szCs w:val="20"/>
              </w:rPr>
              <w:t>4</w:t>
            </w:r>
          </w:p>
        </w:tc>
      </w:tr>
      <w:tr w14:paraId="288446DF">
        <w:trPr>
          <w:trHeight w:val="155" w:hRule="atLeast"/>
        </w:trPr>
        <w:tc>
          <w:tcPr>
            <w:tcW w:w="2000" w:type="pct"/>
            <w:gridSpan w:val="2"/>
            <w:vMerge w:val="continue"/>
            <w:vAlign w:val="center"/>
          </w:tcPr>
          <w:p w14:paraId="3B9476AA">
            <w:pPr>
              <w:autoSpaceDE w:val="0"/>
              <w:autoSpaceDN w:val="0"/>
              <w:adjustRightInd w:val="0"/>
              <w:spacing w:line="240" w:lineRule="auto"/>
              <w:jc w:val="center"/>
              <w:rPr>
                <w:rFonts w:cs="Times New Roman"/>
                <w:sz w:val="20"/>
                <w:szCs w:val="20"/>
              </w:rPr>
            </w:pPr>
          </w:p>
        </w:tc>
        <w:tc>
          <w:tcPr>
            <w:tcW w:w="1000" w:type="pct"/>
            <w:vAlign w:val="center"/>
          </w:tcPr>
          <w:p w14:paraId="49991E1D">
            <w:pPr>
              <w:autoSpaceDE w:val="0"/>
              <w:autoSpaceDN w:val="0"/>
              <w:adjustRightInd w:val="0"/>
              <w:spacing w:line="240" w:lineRule="auto"/>
              <w:jc w:val="center"/>
              <w:rPr>
                <w:rFonts w:cs="Times New Roman"/>
                <w:sz w:val="20"/>
                <w:szCs w:val="20"/>
              </w:rPr>
            </w:pPr>
            <w:r>
              <w:rPr>
                <w:rFonts w:cs="Times New Roman"/>
                <w:sz w:val="20"/>
                <w:szCs w:val="20"/>
              </w:rPr>
              <w:t>NLoS</w:t>
            </w:r>
          </w:p>
        </w:tc>
        <w:tc>
          <w:tcPr>
            <w:tcW w:w="1000" w:type="pct"/>
            <w:vAlign w:val="center"/>
          </w:tcPr>
          <w:p w14:paraId="12252DE2">
            <w:pPr>
              <w:autoSpaceDE w:val="0"/>
              <w:autoSpaceDN w:val="0"/>
              <w:adjustRightInd w:val="0"/>
              <w:spacing w:line="240" w:lineRule="auto"/>
              <w:jc w:val="center"/>
              <w:rPr>
                <w:rFonts w:cs="Times New Roman"/>
                <w:sz w:val="20"/>
                <w:szCs w:val="20"/>
              </w:rPr>
            </w:pPr>
            <w:r>
              <w:rPr>
                <w:rFonts w:hint="eastAsia" w:cs="Times New Roman"/>
                <w:sz w:val="20"/>
                <w:szCs w:val="20"/>
              </w:rPr>
              <w:t>3</w:t>
            </w:r>
            <w:r>
              <w:rPr>
                <w:rFonts w:cs="Times New Roman"/>
                <w:sz w:val="20"/>
                <w:szCs w:val="20"/>
              </w:rPr>
              <w:t>.53</w:t>
            </w:r>
          </w:p>
        </w:tc>
        <w:tc>
          <w:tcPr>
            <w:tcW w:w="1000" w:type="pct"/>
            <w:vAlign w:val="center"/>
          </w:tcPr>
          <w:p w14:paraId="375DE76E">
            <w:pPr>
              <w:autoSpaceDE w:val="0"/>
              <w:autoSpaceDN w:val="0"/>
              <w:adjustRightInd w:val="0"/>
              <w:spacing w:line="240" w:lineRule="auto"/>
              <w:jc w:val="center"/>
              <w:rPr>
                <w:rFonts w:cs="Times New Roman"/>
                <w:sz w:val="20"/>
                <w:szCs w:val="20"/>
              </w:rPr>
            </w:pPr>
            <w:r>
              <w:rPr>
                <w:rFonts w:hint="eastAsia" w:cs="Times New Roman"/>
                <w:sz w:val="20"/>
                <w:szCs w:val="20"/>
              </w:rPr>
              <w:t>7</w:t>
            </w:r>
            <w:r>
              <w:rPr>
                <w:rFonts w:cs="Times New Roman"/>
                <w:sz w:val="20"/>
                <w:szCs w:val="20"/>
              </w:rPr>
              <w:t>.82</w:t>
            </w:r>
          </w:p>
        </w:tc>
      </w:tr>
    </w:tbl>
    <w:p w14:paraId="1D0DB95C">
      <w:pPr>
        <w:rPr>
          <w:rFonts w:cs="Times New Roman"/>
          <w:b/>
          <w:bCs/>
          <w:i/>
          <w:iCs/>
          <w:sz w:val="20"/>
          <w:szCs w:val="20"/>
          <w:u w:val="single"/>
        </w:rPr>
      </w:pPr>
    </w:p>
    <w:p w14:paraId="64CD8E04">
      <w:pPr>
        <w:rPr>
          <w:rFonts w:cs="Times New Roman"/>
          <w:b/>
          <w:bCs/>
          <w:i/>
          <w:iCs/>
          <w:sz w:val="20"/>
          <w:szCs w:val="20"/>
        </w:rPr>
      </w:pPr>
      <w:r>
        <w:rPr>
          <w:rFonts w:cs="Times New Roman"/>
          <w:b/>
          <w:bCs/>
          <w:i/>
          <w:iCs/>
          <w:sz w:val="20"/>
          <w:szCs w:val="20"/>
          <w:u w:val="single"/>
        </w:rPr>
        <w:t>Observation 1</w:t>
      </w:r>
      <w:r>
        <w:rPr>
          <w:rFonts w:hint="eastAsia" w:cs="Times New Roman"/>
          <w:b/>
          <w:bCs/>
          <w:i/>
          <w:iCs/>
          <w:sz w:val="20"/>
          <w:szCs w:val="20"/>
        </w:rPr>
        <w:t>：</w:t>
      </w:r>
      <w:r>
        <w:rPr>
          <w:rFonts w:cs="Times New Roman"/>
          <w:b/>
          <w:bCs/>
          <w:i/>
          <w:iCs/>
          <w:sz w:val="20"/>
          <w:szCs w:val="20"/>
        </w:rPr>
        <w:t xml:space="preserve"> </w:t>
      </w:r>
    </w:p>
    <w:p w14:paraId="560A64CC">
      <w:pPr>
        <w:pStyle w:val="25"/>
        <w:numPr>
          <w:ilvl w:val="0"/>
          <w:numId w:val="2"/>
        </w:numPr>
        <w:ind w:firstLineChars="0"/>
        <w:rPr>
          <w:rFonts w:cs="Times New Roman"/>
          <w:i/>
          <w:iCs/>
          <w:sz w:val="20"/>
          <w:szCs w:val="20"/>
        </w:rPr>
      </w:pPr>
      <w:r>
        <w:rPr>
          <w:rFonts w:cs="Times New Roman"/>
          <w:i/>
          <w:iCs/>
          <w:sz w:val="20"/>
          <w:szCs w:val="20"/>
        </w:rPr>
        <w:t>In LoS scenarios, the PLE increases with the increase of frequency, and the power fluctuation increases when the Tx and Rx are far away.</w:t>
      </w:r>
    </w:p>
    <w:p w14:paraId="40854E15">
      <w:pPr>
        <w:pStyle w:val="25"/>
        <w:numPr>
          <w:ilvl w:val="0"/>
          <w:numId w:val="2"/>
        </w:numPr>
        <w:ind w:firstLineChars="0"/>
        <w:rPr>
          <w:rFonts w:cs="Times New Roman"/>
          <w:i/>
          <w:iCs/>
          <w:sz w:val="20"/>
          <w:szCs w:val="20"/>
        </w:rPr>
      </w:pPr>
      <w:r>
        <w:rPr>
          <w:rFonts w:cs="Times New Roman"/>
          <w:i/>
          <w:iCs/>
          <w:sz w:val="20"/>
          <w:szCs w:val="20"/>
        </w:rPr>
        <w:t>In NLoS scenarios, the measured path loss is significantly higher than the values predicted by the path loss model, due to blocking effects at certain locations.</w:t>
      </w:r>
    </w:p>
    <w:p w14:paraId="0D55D09D">
      <w:pPr>
        <w:rPr>
          <w:rFonts w:cs="Times New Roman"/>
          <w:i/>
          <w:iCs/>
          <w:sz w:val="20"/>
          <w:szCs w:val="20"/>
        </w:rPr>
      </w:pPr>
      <w:r>
        <w:rPr>
          <w:rFonts w:hint="eastAsia" w:cs="Times New Roman"/>
          <w:b/>
          <w:bCs/>
          <w:i/>
          <w:iCs/>
          <w:sz w:val="20"/>
          <w:szCs w:val="20"/>
          <w:u w:val="single"/>
        </w:rPr>
        <w:t xml:space="preserve">Proposal </w:t>
      </w:r>
      <w:r>
        <w:rPr>
          <w:rFonts w:cs="Times New Roman"/>
          <w:b/>
          <w:bCs/>
          <w:i/>
          <w:iCs/>
          <w:sz w:val="20"/>
          <w:szCs w:val="20"/>
          <w:u w:val="single"/>
        </w:rPr>
        <w:t>1</w:t>
      </w:r>
      <w:r>
        <w:rPr>
          <w:rFonts w:hint="eastAsia" w:cs="Times New Roman"/>
          <w:i/>
          <w:iCs/>
          <w:sz w:val="20"/>
          <w:szCs w:val="20"/>
        </w:rPr>
        <w:t>:</w:t>
      </w:r>
    </w:p>
    <w:p w14:paraId="44B50D30">
      <w:pPr>
        <w:pStyle w:val="25"/>
        <w:numPr>
          <w:ilvl w:val="0"/>
          <w:numId w:val="3"/>
        </w:numPr>
        <w:ind w:firstLineChars="0"/>
        <w:rPr>
          <w:i/>
          <w:iCs/>
          <w:sz w:val="20"/>
          <w:szCs w:val="20"/>
        </w:rPr>
      </w:pPr>
      <w:r>
        <w:rPr>
          <w:i/>
          <w:iCs/>
          <w:sz w:val="20"/>
          <w:szCs w:val="20"/>
        </w:rPr>
        <w:t>The influence of frequency on the PLE needs to be considered in the path loss model.</w:t>
      </w:r>
    </w:p>
    <w:p w14:paraId="3030D00F">
      <w:pPr>
        <w:pStyle w:val="25"/>
        <w:numPr>
          <w:ilvl w:val="0"/>
          <w:numId w:val="3"/>
        </w:numPr>
        <w:ind w:firstLineChars="0"/>
        <w:rPr>
          <w:i/>
          <w:iCs/>
          <w:sz w:val="20"/>
          <w:szCs w:val="20"/>
        </w:rPr>
      </w:pPr>
      <w:r>
        <w:rPr>
          <w:i/>
          <w:iCs/>
          <w:sz w:val="20"/>
          <w:szCs w:val="20"/>
        </w:rPr>
        <w:t>In NLoS scenario, it is necessary to consider the influence of blocking/diffraction loss on path loss.</w:t>
      </w:r>
    </w:p>
    <w:p w14:paraId="621562FE">
      <w:pPr>
        <w:pStyle w:val="25"/>
        <w:ind w:left="360" w:firstLine="0" w:firstLineChars="0"/>
      </w:pPr>
    </w:p>
    <w:p w14:paraId="1A1FCA49">
      <w:pPr>
        <w:rPr>
          <w:rFonts w:hint="default" w:ascii="Times New Roman Regular" w:hAnsi="Times New Roman Regular" w:cs="Times New Roman Regular"/>
        </w:rPr>
      </w:pPr>
      <w:r>
        <w:rPr>
          <w:rFonts w:hint="default" w:ascii="Times New Roman Regular" w:hAnsi="Times New Roman Regular" w:cs="Times New Roman Regular"/>
        </w:rPr>
        <w:t>2.2.2 Delay spread</w:t>
      </w:r>
    </w:p>
    <w:p w14:paraId="584A8BAC">
      <w:pPr>
        <w:ind w:firstLine="200" w:firstLineChars="100"/>
        <w:rPr>
          <w:rFonts w:cs="Times New Roman"/>
          <w:sz w:val="20"/>
          <w:szCs w:val="20"/>
        </w:rPr>
      </w:pPr>
      <w:r>
        <w:rPr>
          <w:rFonts w:cs="Times New Roman"/>
          <w:sz w:val="20"/>
          <w:szCs w:val="20"/>
        </w:rPr>
        <w:t xml:space="preserve">The delay spread (DS) results at 7, 10, and 13 GHz are shown in </w:t>
      </w:r>
      <w:r>
        <w:rPr>
          <w:rFonts w:cs="Times New Roman"/>
          <w:sz w:val="20"/>
          <w:szCs w:val="20"/>
        </w:rPr>
        <w:fldChar w:fldCharType="begin"/>
      </w:r>
      <w:r>
        <w:rPr>
          <w:rFonts w:cs="Times New Roman"/>
          <w:sz w:val="20"/>
          <w:szCs w:val="20"/>
        </w:rPr>
        <w:instrText xml:space="preserve"> REF _Ref177637363 \h  \* MERGEFORMAT </w:instrText>
      </w:r>
      <w:r>
        <w:rPr>
          <w:rFonts w:cs="Times New Roman"/>
          <w:sz w:val="20"/>
          <w:szCs w:val="20"/>
        </w:rPr>
        <w:fldChar w:fldCharType="separate"/>
      </w:r>
      <w:r>
        <w:rPr>
          <w:sz w:val="20"/>
          <w:szCs w:val="20"/>
        </w:rPr>
        <w:t>Fig. 3</w:t>
      </w:r>
      <w:r>
        <w:rPr>
          <w:rFonts w:cs="Times New Roman"/>
          <w:sz w:val="20"/>
          <w:szCs w:val="20"/>
        </w:rPr>
        <w:fldChar w:fldCharType="end"/>
      </w:r>
      <w:r>
        <w:rPr>
          <w:rFonts w:cs="Times New Roman"/>
          <w:sz w:val="20"/>
          <w:szCs w:val="20"/>
        </w:rPr>
        <w:t xml:space="preserve">. It can be observed that the DS decreases with increasing frequency, and the DSs at all bands follow a log-normal distribution, with specific distribution parameters listed in </w:t>
      </w:r>
      <w:r>
        <w:rPr>
          <w:rFonts w:cs="Times New Roman"/>
          <w:sz w:val="20"/>
          <w:szCs w:val="20"/>
        </w:rPr>
        <w:fldChar w:fldCharType="begin"/>
      </w:r>
      <w:r>
        <w:rPr>
          <w:rFonts w:cs="Times New Roman"/>
          <w:sz w:val="20"/>
          <w:szCs w:val="20"/>
        </w:rPr>
        <w:instrText xml:space="preserve"> REF _Ref178534258 \h  \* MERGEFORMAT </w:instrText>
      </w:r>
      <w:r>
        <w:rPr>
          <w:rFonts w:cs="Times New Roman"/>
          <w:sz w:val="20"/>
          <w:szCs w:val="20"/>
        </w:rPr>
        <w:fldChar w:fldCharType="separate"/>
      </w:r>
      <w:r>
        <w:rPr>
          <w:sz w:val="20"/>
          <w:szCs w:val="20"/>
        </w:rPr>
        <w:t>Table 2</w:t>
      </w:r>
      <w:r>
        <w:rPr>
          <w:rFonts w:cs="Times New Roman"/>
          <w:sz w:val="20"/>
          <w:szCs w:val="20"/>
        </w:rPr>
        <w:fldChar w:fldCharType="end"/>
      </w:r>
      <w:r>
        <w:rPr>
          <w:rFonts w:cs="Times New Roman"/>
          <w:sz w:val="20"/>
          <w:szCs w:val="20"/>
        </w:rPr>
        <w:t>. Comparing LoS and NLoS scenarios, it is evident that at the same frequency, the DS in NLoS scenarios is higher than that in LoS scenarios, due to the presence of more scattering objects in NLoS environments.</w:t>
      </w:r>
    </w:p>
    <w:p w14:paraId="2682F444">
      <w:pPr>
        <w:rPr>
          <w:rFonts w:cs="Times New Roman"/>
          <w:sz w:val="20"/>
          <w:szCs w:val="20"/>
        </w:rPr>
      </w:pPr>
      <w:r>
        <w:rPr>
          <w:rFonts w:cs="Times New Roman"/>
          <w:sz w:val="20"/>
          <w:szCs w:val="20"/>
        </w:rPr>
        <w:drawing>
          <wp:inline distT="0" distB="0" distL="0" distR="0">
            <wp:extent cx="2627630" cy="2122170"/>
            <wp:effectExtent l="0" t="0" r="127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2628000" cy="2122615"/>
                    </a:xfrm>
                    <a:prstGeom prst="rect">
                      <a:avLst/>
                    </a:prstGeom>
                    <a:noFill/>
                    <a:ln>
                      <a:noFill/>
                    </a:ln>
                  </pic:spPr>
                </pic:pic>
              </a:graphicData>
            </a:graphic>
          </wp:inline>
        </w:drawing>
      </w:r>
      <w:r>
        <w:rPr>
          <w:rFonts w:cs="Times New Roman"/>
          <w:sz w:val="20"/>
          <w:szCs w:val="20"/>
        </w:rPr>
        <w:drawing>
          <wp:inline distT="0" distB="0" distL="0" distR="0">
            <wp:extent cx="2627630" cy="2118995"/>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628000" cy="2119005"/>
                    </a:xfrm>
                    <a:prstGeom prst="rect">
                      <a:avLst/>
                    </a:prstGeom>
                    <a:noFill/>
                    <a:ln>
                      <a:noFill/>
                    </a:ln>
                  </pic:spPr>
                </pic:pic>
              </a:graphicData>
            </a:graphic>
          </wp:inline>
        </w:drawing>
      </w:r>
    </w:p>
    <w:p w14:paraId="599F205C">
      <w:pPr>
        <w:keepNext/>
        <w:jc w:val="center"/>
        <w:rPr>
          <w:rFonts w:cs="Times New Roman"/>
          <w:sz w:val="20"/>
          <w:szCs w:val="20"/>
        </w:rPr>
      </w:pPr>
      <w:r>
        <w:rPr>
          <w:rFonts w:hint="eastAsia" w:cs="Times New Roman"/>
          <w:sz w:val="20"/>
          <w:szCs w:val="20"/>
        </w:rPr>
        <w:t>(</w:t>
      </w:r>
      <w:r>
        <w:rPr>
          <w:rFonts w:cs="Times New Roman"/>
          <w:sz w:val="20"/>
          <w:szCs w:val="20"/>
        </w:rPr>
        <w:t>a)                                  (b)</w:t>
      </w:r>
    </w:p>
    <w:p w14:paraId="34A92FE4">
      <w:pPr>
        <w:pStyle w:val="5"/>
        <w:jc w:val="center"/>
      </w:pPr>
      <w:bookmarkStart w:id="6" w:name="_Ref177637363"/>
      <w:r>
        <w:t xml:space="preserve">Fig. </w:t>
      </w:r>
      <w:r>
        <w:fldChar w:fldCharType="begin"/>
      </w:r>
      <w:r>
        <w:instrText xml:space="preserve"> SEQ Fig. \* ARABIC </w:instrText>
      </w:r>
      <w:r>
        <w:fldChar w:fldCharType="separate"/>
      </w:r>
      <w:r>
        <w:t>3</w:t>
      </w:r>
      <w:r>
        <w:fldChar w:fldCharType="end"/>
      </w:r>
      <w:bookmarkEnd w:id="6"/>
      <w:r>
        <w:t>. Delay spreads at different frequency bands in (a) LoS and (b) NLoS scenarios.</w:t>
      </w:r>
    </w:p>
    <w:p w14:paraId="45E790E6">
      <w:pPr>
        <w:rPr>
          <w:sz w:val="20"/>
          <w:szCs w:val="20"/>
        </w:rPr>
      </w:pPr>
    </w:p>
    <w:p w14:paraId="76780138">
      <w:pPr>
        <w:pStyle w:val="5"/>
        <w:keepNext/>
        <w:jc w:val="center"/>
      </w:pPr>
      <w:bookmarkStart w:id="7" w:name="_Ref178534258"/>
      <w:r>
        <w:t xml:space="preserve">Table </w:t>
      </w:r>
      <w:r>
        <w:fldChar w:fldCharType="begin"/>
      </w:r>
      <w:r>
        <w:instrText xml:space="preserve"> SEQ Table \* ARABIC </w:instrText>
      </w:r>
      <w:r>
        <w:fldChar w:fldCharType="separate"/>
      </w:r>
      <w:r>
        <w:t>2</w:t>
      </w:r>
      <w:r>
        <w:fldChar w:fldCharType="end"/>
      </w:r>
      <w:bookmarkEnd w:id="7"/>
      <w:r>
        <w:t>. DS fitting parameters at different frequency bands [1].</w:t>
      </w:r>
    </w:p>
    <w:tbl>
      <w:tblPr>
        <w:tblStyle w:val="1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5"/>
        <w:gridCol w:w="2093"/>
        <w:gridCol w:w="1831"/>
        <w:gridCol w:w="2093"/>
        <w:gridCol w:w="1832"/>
      </w:tblGrid>
      <w:tr w14:paraId="67D4E4D3">
        <w:trPr>
          <w:jc w:val="center"/>
        </w:trPr>
        <w:tc>
          <w:tcPr>
            <w:tcW w:w="1017" w:type="pct"/>
            <w:vMerge w:val="restart"/>
            <w:vAlign w:val="center"/>
          </w:tcPr>
          <w:p w14:paraId="43CB34A4">
            <w:pPr>
              <w:autoSpaceDE w:val="0"/>
              <w:autoSpaceDN w:val="0"/>
              <w:adjustRightInd w:val="0"/>
              <w:spacing w:line="240" w:lineRule="auto"/>
              <w:jc w:val="center"/>
              <w:rPr>
                <w:rFonts w:cs="Times New Roman"/>
                <w:sz w:val="20"/>
                <w:szCs w:val="20"/>
              </w:rPr>
            </w:pPr>
            <w:r>
              <w:rPr>
                <w:rFonts w:cs="Times New Roman"/>
                <w:sz w:val="20"/>
                <w:szCs w:val="20"/>
              </w:rPr>
              <w:t xml:space="preserve">Frequency </w:t>
            </w:r>
          </w:p>
          <w:p w14:paraId="58318C39">
            <w:pPr>
              <w:autoSpaceDE w:val="0"/>
              <w:autoSpaceDN w:val="0"/>
              <w:adjustRightInd w:val="0"/>
              <w:spacing w:line="240" w:lineRule="auto"/>
              <w:jc w:val="center"/>
              <w:rPr>
                <w:rFonts w:cs="Times New Roman"/>
                <w:sz w:val="20"/>
                <w:szCs w:val="20"/>
              </w:rPr>
            </w:pPr>
            <w:r>
              <w:rPr>
                <w:rFonts w:cs="Times New Roman"/>
                <w:sz w:val="20"/>
                <w:szCs w:val="20"/>
              </w:rPr>
              <w:t>(GHz)</w:t>
            </w:r>
          </w:p>
        </w:tc>
        <w:tc>
          <w:tcPr>
            <w:tcW w:w="1991" w:type="pct"/>
            <w:gridSpan w:val="2"/>
            <w:vAlign w:val="center"/>
          </w:tcPr>
          <w:p w14:paraId="03DB791B">
            <w:pPr>
              <w:autoSpaceDE w:val="0"/>
              <w:autoSpaceDN w:val="0"/>
              <w:adjustRightInd w:val="0"/>
              <w:spacing w:line="240" w:lineRule="auto"/>
              <w:jc w:val="center"/>
              <w:rPr>
                <w:rFonts w:cs="Times New Roman"/>
                <w:sz w:val="20"/>
                <w:szCs w:val="20"/>
              </w:rPr>
            </w:pPr>
            <w:r>
              <w:rPr>
                <w:rFonts w:cs="Times New Roman"/>
                <w:sz w:val="20"/>
                <w:szCs w:val="20"/>
              </w:rPr>
              <w:t>LoS</w:t>
            </w:r>
          </w:p>
          <w:p w14:paraId="7FDD4351">
            <w:pPr>
              <w:autoSpaceDE w:val="0"/>
              <w:autoSpaceDN w:val="0"/>
              <w:adjustRightInd w:val="0"/>
              <w:spacing w:line="240" w:lineRule="auto"/>
              <w:jc w:val="center"/>
              <w:rPr>
                <w:rFonts w:cs="Times New Roman"/>
                <w:sz w:val="20"/>
                <w:szCs w:val="20"/>
              </w:rPr>
            </w:pPr>
            <w:r>
              <w:rPr>
                <w:rFonts w:cs="Times New Roman"/>
                <w:sz w:val="20"/>
                <w:szCs w:val="20"/>
              </w:rPr>
              <w:t>Measurements/3GPP</w:t>
            </w:r>
          </w:p>
        </w:tc>
        <w:tc>
          <w:tcPr>
            <w:tcW w:w="1991" w:type="pct"/>
            <w:gridSpan w:val="2"/>
            <w:vAlign w:val="center"/>
          </w:tcPr>
          <w:p w14:paraId="655AF6A0">
            <w:pPr>
              <w:autoSpaceDE w:val="0"/>
              <w:autoSpaceDN w:val="0"/>
              <w:adjustRightInd w:val="0"/>
              <w:spacing w:line="240" w:lineRule="auto"/>
              <w:jc w:val="center"/>
              <w:rPr>
                <w:rFonts w:cs="Times New Roman"/>
                <w:sz w:val="20"/>
                <w:szCs w:val="20"/>
              </w:rPr>
            </w:pPr>
            <w:r>
              <w:rPr>
                <w:rFonts w:cs="Times New Roman"/>
                <w:sz w:val="20"/>
                <w:szCs w:val="20"/>
              </w:rPr>
              <w:t>NLoS</w:t>
            </w:r>
          </w:p>
          <w:p w14:paraId="666C67BF">
            <w:pPr>
              <w:autoSpaceDE w:val="0"/>
              <w:autoSpaceDN w:val="0"/>
              <w:adjustRightInd w:val="0"/>
              <w:spacing w:line="240" w:lineRule="auto"/>
              <w:jc w:val="center"/>
              <w:rPr>
                <w:rFonts w:cs="Times New Roman"/>
                <w:sz w:val="20"/>
                <w:szCs w:val="20"/>
              </w:rPr>
            </w:pPr>
            <w:r>
              <w:rPr>
                <w:rFonts w:cs="Times New Roman"/>
                <w:sz w:val="20"/>
                <w:szCs w:val="20"/>
              </w:rPr>
              <w:t>Measurements/3GPP</w:t>
            </w:r>
          </w:p>
        </w:tc>
      </w:tr>
      <w:tr w14:paraId="6F20C358">
        <w:trPr>
          <w:jc w:val="center"/>
        </w:trPr>
        <w:tc>
          <w:tcPr>
            <w:tcW w:w="1017" w:type="pct"/>
            <w:vMerge w:val="continue"/>
            <w:vAlign w:val="center"/>
          </w:tcPr>
          <w:p w14:paraId="6D5B55B5">
            <w:pPr>
              <w:autoSpaceDE w:val="0"/>
              <w:autoSpaceDN w:val="0"/>
              <w:adjustRightInd w:val="0"/>
              <w:spacing w:line="240" w:lineRule="auto"/>
              <w:jc w:val="center"/>
              <w:rPr>
                <w:rFonts w:cs="Times New Roman"/>
                <w:sz w:val="20"/>
                <w:szCs w:val="20"/>
              </w:rPr>
            </w:pPr>
          </w:p>
        </w:tc>
        <w:tc>
          <w:tcPr>
            <w:tcW w:w="1062" w:type="pct"/>
            <w:vAlign w:val="center"/>
          </w:tcPr>
          <w:p w14:paraId="63F3DF89">
            <w:pPr>
              <w:autoSpaceDE w:val="0"/>
              <w:autoSpaceDN w:val="0"/>
              <w:adjustRightInd w:val="0"/>
              <w:spacing w:line="240" w:lineRule="auto"/>
              <w:jc w:val="center"/>
              <w:rPr>
                <w:rFonts w:cs="Times New Roman"/>
                <w:sz w:val="20"/>
                <w:szCs w:val="20"/>
              </w:rPr>
            </w:pPr>
            <m:oMath>
              <m:sSub>
                <m:sSubPr>
                  <m:ctrlPr>
                    <w:rPr>
                      <w:rFonts w:ascii="Cambria Math" w:hAnsi="Cambria Math" w:cs="Times New Roman"/>
                      <w:i/>
                      <w:sz w:val="20"/>
                      <w:szCs w:val="20"/>
                    </w:rPr>
                  </m:ctrlPr>
                </m:sSubPr>
                <m:e>
                  <m:r>
                    <m:rPr/>
                    <w:rPr>
                      <w:rFonts w:ascii="Cambria Math" w:hAnsi="Cambria Math" w:cs="Times New Roman"/>
                      <w:sz w:val="20"/>
                      <w:szCs w:val="20"/>
                    </w:rPr>
                    <m:t>µ</m:t>
                  </m:r>
                  <m:ctrlPr>
                    <w:rPr>
                      <w:rFonts w:ascii="Cambria Math" w:hAnsi="Cambria Math" w:cs="Times New Roman"/>
                      <w:i/>
                      <w:sz w:val="20"/>
                      <w:szCs w:val="20"/>
                    </w:rPr>
                  </m:ctrlPr>
                </m:e>
                <m:sub>
                  <m:r>
                    <m:rPr>
                      <m:sty m:val="p"/>
                    </m:rPr>
                    <w:rPr>
                      <w:rFonts w:ascii="Cambria Math" w:hAnsi="Cambria Math" w:cs="Times New Roman"/>
                      <w:sz w:val="20"/>
                      <w:szCs w:val="20"/>
                    </w:rPr>
                    <m:t>lg(DS)</m:t>
                  </m:r>
                  <m:ctrlPr>
                    <w:rPr>
                      <w:rFonts w:ascii="Cambria Math" w:hAnsi="Cambria Math" w:cs="Times New Roman"/>
                      <w:i/>
                      <w:sz w:val="20"/>
                      <w:szCs w:val="20"/>
                    </w:rPr>
                  </m:ctrlPr>
                </m:sub>
              </m:sSub>
              <m:r>
                <m:rPr/>
                <w:rPr>
                  <w:rFonts w:ascii="Cambria Math" w:hAnsi="Cambria Math" w:cs="Times New Roman"/>
                  <w:sz w:val="20"/>
                  <w:szCs w:val="20"/>
                </w:rPr>
                <m:t xml:space="preserve"> </m:t>
              </m:r>
            </m:oMath>
            <w:r>
              <w:rPr>
                <w:rFonts w:cs="Times New Roman"/>
                <w:sz w:val="20"/>
                <w:szCs w:val="20"/>
              </w:rPr>
              <w:t>(s)</w:t>
            </w:r>
          </w:p>
        </w:tc>
        <w:tc>
          <w:tcPr>
            <w:tcW w:w="929" w:type="pct"/>
            <w:vAlign w:val="center"/>
          </w:tcPr>
          <w:p w14:paraId="1DD3826F">
            <w:pPr>
              <w:autoSpaceDE w:val="0"/>
              <w:autoSpaceDN w:val="0"/>
              <w:adjustRightInd w:val="0"/>
              <w:spacing w:line="240" w:lineRule="auto"/>
              <w:jc w:val="center"/>
              <w:rPr>
                <w:rFonts w:cs="Times New Roman"/>
                <w:sz w:val="20"/>
                <w:szCs w:val="20"/>
              </w:rPr>
            </w:pPr>
            <m:oMath>
              <m:sSub>
                <m:sSubPr>
                  <m:ctrlPr>
                    <w:rPr>
                      <w:rFonts w:ascii="Cambria Math" w:hAnsi="Cambria Math" w:cs="Times New Roman"/>
                      <w:i/>
                      <w:sz w:val="20"/>
                      <w:szCs w:val="20"/>
                    </w:rPr>
                  </m:ctrlPr>
                </m:sSubPr>
                <m:e>
                  <m:r>
                    <m:rPr/>
                    <w:rPr>
                      <w:rFonts w:ascii="Cambria Math" w:hAnsi="Cambria Math" w:cs="Times New Roman"/>
                      <w:sz w:val="20"/>
                      <w:szCs w:val="20"/>
                    </w:rPr>
                    <m:t>σ</m:t>
                  </m:r>
                  <m:ctrlPr>
                    <w:rPr>
                      <w:rFonts w:ascii="Cambria Math" w:hAnsi="Cambria Math" w:cs="Times New Roman"/>
                      <w:i/>
                      <w:sz w:val="20"/>
                      <w:szCs w:val="20"/>
                    </w:rPr>
                  </m:ctrlPr>
                </m:e>
                <m:sub>
                  <m:r>
                    <m:rPr>
                      <m:sty m:val="p"/>
                    </m:rPr>
                    <w:rPr>
                      <w:rFonts w:ascii="Cambria Math" w:hAnsi="Cambria Math" w:cs="Times New Roman"/>
                      <w:sz w:val="20"/>
                      <w:szCs w:val="20"/>
                    </w:rPr>
                    <m:t>lg(DS)</m:t>
                  </m:r>
                  <m:ctrlPr>
                    <w:rPr>
                      <w:rFonts w:ascii="Cambria Math" w:hAnsi="Cambria Math" w:cs="Times New Roman"/>
                      <w:i/>
                      <w:sz w:val="20"/>
                      <w:szCs w:val="20"/>
                    </w:rPr>
                  </m:ctrlPr>
                </m:sub>
              </m:sSub>
              <m:r>
                <m:rPr/>
                <w:rPr>
                  <w:rFonts w:ascii="Cambria Math" w:hAnsi="Cambria Math" w:cs="Times New Roman"/>
                  <w:sz w:val="20"/>
                  <w:szCs w:val="20"/>
                </w:rPr>
                <m:t xml:space="preserve"> </m:t>
              </m:r>
            </m:oMath>
            <w:r>
              <w:rPr>
                <w:rFonts w:cs="Times New Roman"/>
                <w:sz w:val="20"/>
                <w:szCs w:val="20"/>
              </w:rPr>
              <w:t>(s)</w:t>
            </w:r>
          </w:p>
        </w:tc>
        <w:tc>
          <w:tcPr>
            <w:tcW w:w="1062" w:type="pct"/>
            <w:vAlign w:val="center"/>
          </w:tcPr>
          <w:p w14:paraId="563F92DF">
            <w:pPr>
              <w:autoSpaceDE w:val="0"/>
              <w:autoSpaceDN w:val="0"/>
              <w:adjustRightInd w:val="0"/>
              <w:spacing w:line="240" w:lineRule="auto"/>
              <w:jc w:val="center"/>
              <w:rPr>
                <w:rFonts w:cs="Times New Roman"/>
                <w:sz w:val="20"/>
                <w:szCs w:val="20"/>
              </w:rPr>
            </w:pPr>
            <m:oMathPara>
              <m:oMath>
                <m:sSub>
                  <m:sSubPr>
                    <m:ctrlPr>
                      <w:rPr>
                        <w:rFonts w:ascii="Cambria Math" w:hAnsi="Cambria Math" w:cs="Times New Roman"/>
                        <w:i/>
                        <w:sz w:val="20"/>
                        <w:szCs w:val="20"/>
                      </w:rPr>
                    </m:ctrlPr>
                  </m:sSubPr>
                  <m:e>
                    <m:r>
                      <m:rPr/>
                      <w:rPr>
                        <w:rFonts w:ascii="Cambria Math" w:hAnsi="Cambria Math" w:cs="Times New Roman"/>
                        <w:sz w:val="20"/>
                        <w:szCs w:val="20"/>
                      </w:rPr>
                      <m:t>µ</m:t>
                    </m:r>
                    <m:ctrlPr>
                      <w:rPr>
                        <w:rFonts w:ascii="Cambria Math" w:hAnsi="Cambria Math" w:cs="Times New Roman"/>
                        <w:i/>
                        <w:sz w:val="20"/>
                        <w:szCs w:val="20"/>
                      </w:rPr>
                    </m:ctrlPr>
                  </m:e>
                  <m:sub>
                    <m:r>
                      <m:rPr>
                        <m:sty m:val="p"/>
                      </m:rPr>
                      <w:rPr>
                        <w:rFonts w:ascii="Cambria Math" w:hAnsi="Cambria Math" w:cs="Times New Roman"/>
                        <w:sz w:val="20"/>
                        <w:szCs w:val="20"/>
                      </w:rPr>
                      <m:t xml:space="preserve">lg(DS) </m:t>
                    </m:r>
                    <m:ctrlPr>
                      <w:rPr>
                        <w:rFonts w:ascii="Cambria Math" w:hAnsi="Cambria Math" w:cs="Times New Roman"/>
                        <w:i/>
                        <w:sz w:val="20"/>
                        <w:szCs w:val="20"/>
                      </w:rPr>
                    </m:ctrlPr>
                  </m:sub>
                </m:sSub>
                <m:r>
                  <m:rPr>
                    <m:sty m:val="p"/>
                  </m:rPr>
                  <w:rPr>
                    <w:rFonts w:ascii="Cambria Math" w:hAnsi="Cambria Math" w:cs="Times New Roman"/>
                    <w:sz w:val="20"/>
                    <w:szCs w:val="20"/>
                  </w:rPr>
                  <m:t>(s)</m:t>
                </m:r>
              </m:oMath>
            </m:oMathPara>
          </w:p>
        </w:tc>
        <w:tc>
          <w:tcPr>
            <w:tcW w:w="929" w:type="pct"/>
            <w:vAlign w:val="center"/>
          </w:tcPr>
          <w:p w14:paraId="5FF257D7">
            <w:pPr>
              <w:autoSpaceDE w:val="0"/>
              <w:autoSpaceDN w:val="0"/>
              <w:adjustRightInd w:val="0"/>
              <w:spacing w:line="240" w:lineRule="auto"/>
              <w:jc w:val="center"/>
              <w:rPr>
                <w:rFonts w:cs="Times New Roman"/>
                <w:sz w:val="20"/>
                <w:szCs w:val="20"/>
              </w:rPr>
            </w:pPr>
            <m:oMath>
              <m:sSub>
                <m:sSubPr>
                  <m:ctrlPr>
                    <w:rPr>
                      <w:rFonts w:ascii="Cambria Math" w:hAnsi="Cambria Math" w:cs="Times New Roman"/>
                      <w:i/>
                      <w:sz w:val="20"/>
                      <w:szCs w:val="20"/>
                    </w:rPr>
                  </m:ctrlPr>
                </m:sSubPr>
                <m:e>
                  <m:r>
                    <m:rPr/>
                    <w:rPr>
                      <w:rFonts w:ascii="Cambria Math" w:hAnsi="Cambria Math" w:cs="Times New Roman"/>
                      <w:sz w:val="20"/>
                      <w:szCs w:val="20"/>
                    </w:rPr>
                    <m:t>σ</m:t>
                  </m:r>
                  <m:ctrlPr>
                    <w:rPr>
                      <w:rFonts w:ascii="Cambria Math" w:hAnsi="Cambria Math" w:cs="Times New Roman"/>
                      <w:i/>
                      <w:sz w:val="20"/>
                      <w:szCs w:val="20"/>
                    </w:rPr>
                  </m:ctrlPr>
                </m:e>
                <m:sub>
                  <m:r>
                    <m:rPr>
                      <m:sty m:val="p"/>
                    </m:rPr>
                    <w:rPr>
                      <w:rFonts w:ascii="Cambria Math" w:hAnsi="Cambria Math" w:cs="Times New Roman"/>
                      <w:sz w:val="20"/>
                      <w:szCs w:val="20"/>
                    </w:rPr>
                    <m:t>lg(DS)</m:t>
                  </m:r>
                  <m:ctrlPr>
                    <w:rPr>
                      <w:rFonts w:ascii="Cambria Math" w:hAnsi="Cambria Math" w:cs="Times New Roman"/>
                      <w:i/>
                      <w:sz w:val="20"/>
                      <w:szCs w:val="20"/>
                    </w:rPr>
                  </m:ctrlPr>
                </m:sub>
              </m:sSub>
              <m:r>
                <m:rPr/>
                <w:rPr>
                  <w:rFonts w:ascii="Cambria Math" w:hAnsi="Cambria Math" w:cs="Times New Roman"/>
                  <w:sz w:val="20"/>
                  <w:szCs w:val="20"/>
                </w:rPr>
                <m:t xml:space="preserve"> </m:t>
              </m:r>
            </m:oMath>
            <w:r>
              <w:rPr>
                <w:rFonts w:cs="Times New Roman"/>
                <w:sz w:val="20"/>
                <w:szCs w:val="20"/>
              </w:rPr>
              <w:t>(s)</w:t>
            </w:r>
          </w:p>
        </w:tc>
      </w:tr>
      <w:tr w14:paraId="0C1FD195">
        <w:trPr>
          <w:jc w:val="center"/>
        </w:trPr>
        <w:tc>
          <w:tcPr>
            <w:tcW w:w="1017" w:type="pct"/>
            <w:vAlign w:val="center"/>
          </w:tcPr>
          <w:p w14:paraId="56F30AEB">
            <w:pPr>
              <w:autoSpaceDE w:val="0"/>
              <w:autoSpaceDN w:val="0"/>
              <w:adjustRightInd w:val="0"/>
              <w:spacing w:line="240" w:lineRule="auto"/>
              <w:jc w:val="center"/>
              <w:rPr>
                <w:rFonts w:cs="Times New Roman"/>
                <w:sz w:val="20"/>
                <w:szCs w:val="20"/>
              </w:rPr>
            </w:pPr>
            <w:r>
              <w:rPr>
                <w:rFonts w:cs="Times New Roman"/>
                <w:sz w:val="20"/>
                <w:szCs w:val="20"/>
              </w:rPr>
              <w:t>7</w:t>
            </w:r>
          </w:p>
        </w:tc>
        <w:tc>
          <w:tcPr>
            <w:tcW w:w="1062" w:type="pct"/>
            <w:vAlign w:val="center"/>
          </w:tcPr>
          <w:p w14:paraId="44F6AE44">
            <w:pPr>
              <w:autoSpaceDE w:val="0"/>
              <w:autoSpaceDN w:val="0"/>
              <w:adjustRightInd w:val="0"/>
              <w:spacing w:line="240" w:lineRule="auto"/>
              <w:jc w:val="center"/>
              <w:rPr>
                <w:rFonts w:cs="Times New Roman"/>
                <w:sz w:val="20"/>
                <w:szCs w:val="20"/>
              </w:rPr>
            </w:pPr>
            <w:r>
              <w:rPr>
                <w:rFonts w:cs="Times New Roman"/>
                <w:sz w:val="20"/>
                <w:szCs w:val="20"/>
              </w:rPr>
              <w:t>-7.46/-7.35</w:t>
            </w:r>
          </w:p>
        </w:tc>
        <w:tc>
          <w:tcPr>
            <w:tcW w:w="929" w:type="pct"/>
            <w:vAlign w:val="center"/>
          </w:tcPr>
          <w:p w14:paraId="468838D3">
            <w:pPr>
              <w:autoSpaceDE w:val="0"/>
              <w:autoSpaceDN w:val="0"/>
              <w:adjustRightInd w:val="0"/>
              <w:spacing w:line="240" w:lineRule="auto"/>
              <w:jc w:val="center"/>
              <w:rPr>
                <w:rFonts w:cs="Times New Roman"/>
                <w:sz w:val="20"/>
                <w:szCs w:val="20"/>
              </w:rPr>
            </w:pPr>
            <w:r>
              <w:rPr>
                <w:rFonts w:cs="Times New Roman"/>
                <w:sz w:val="20"/>
                <w:szCs w:val="20"/>
              </w:rPr>
              <w:t>0.40/0.38</w:t>
            </w:r>
          </w:p>
        </w:tc>
        <w:tc>
          <w:tcPr>
            <w:tcW w:w="1062" w:type="pct"/>
            <w:vAlign w:val="center"/>
          </w:tcPr>
          <w:p w14:paraId="72F8D37C">
            <w:pPr>
              <w:autoSpaceDE w:val="0"/>
              <w:autoSpaceDN w:val="0"/>
              <w:adjustRightInd w:val="0"/>
              <w:spacing w:line="240" w:lineRule="auto"/>
              <w:jc w:val="center"/>
              <w:rPr>
                <w:rFonts w:cs="Times New Roman"/>
                <w:sz w:val="20"/>
                <w:szCs w:val="20"/>
              </w:rPr>
            </w:pPr>
            <w:r>
              <w:rPr>
                <w:rFonts w:cs="Times New Roman"/>
                <w:sz w:val="20"/>
                <w:szCs w:val="20"/>
              </w:rPr>
              <w:t>-6.98/-7.04</w:t>
            </w:r>
          </w:p>
        </w:tc>
        <w:tc>
          <w:tcPr>
            <w:tcW w:w="929" w:type="pct"/>
            <w:vAlign w:val="center"/>
          </w:tcPr>
          <w:p w14:paraId="4ED63E46">
            <w:pPr>
              <w:autoSpaceDE w:val="0"/>
              <w:autoSpaceDN w:val="0"/>
              <w:adjustRightInd w:val="0"/>
              <w:spacing w:line="240" w:lineRule="auto"/>
              <w:jc w:val="center"/>
              <w:rPr>
                <w:rFonts w:cs="Times New Roman"/>
                <w:sz w:val="20"/>
                <w:szCs w:val="20"/>
              </w:rPr>
            </w:pPr>
            <w:r>
              <w:rPr>
                <w:rFonts w:cs="Times New Roman"/>
                <w:sz w:val="20"/>
                <w:szCs w:val="20"/>
              </w:rPr>
              <w:t>0.22/0.42</w:t>
            </w:r>
          </w:p>
        </w:tc>
      </w:tr>
      <w:tr w14:paraId="2EEB9BE4">
        <w:trPr>
          <w:jc w:val="center"/>
        </w:trPr>
        <w:tc>
          <w:tcPr>
            <w:tcW w:w="1017" w:type="pct"/>
            <w:vAlign w:val="center"/>
          </w:tcPr>
          <w:p w14:paraId="3BB805EA">
            <w:pPr>
              <w:autoSpaceDE w:val="0"/>
              <w:autoSpaceDN w:val="0"/>
              <w:adjustRightInd w:val="0"/>
              <w:spacing w:line="240" w:lineRule="auto"/>
              <w:jc w:val="center"/>
              <w:rPr>
                <w:rFonts w:cs="Times New Roman"/>
                <w:sz w:val="20"/>
                <w:szCs w:val="20"/>
              </w:rPr>
            </w:pPr>
            <w:r>
              <w:rPr>
                <w:rFonts w:cs="Times New Roman"/>
                <w:sz w:val="20"/>
                <w:szCs w:val="20"/>
              </w:rPr>
              <w:t>10</w:t>
            </w:r>
          </w:p>
        </w:tc>
        <w:tc>
          <w:tcPr>
            <w:tcW w:w="1062" w:type="pct"/>
            <w:vAlign w:val="center"/>
          </w:tcPr>
          <w:p w14:paraId="1DC7B21C">
            <w:pPr>
              <w:autoSpaceDE w:val="0"/>
              <w:autoSpaceDN w:val="0"/>
              <w:adjustRightInd w:val="0"/>
              <w:spacing w:line="240" w:lineRule="auto"/>
              <w:jc w:val="center"/>
              <w:rPr>
                <w:rFonts w:cs="Times New Roman"/>
                <w:sz w:val="20"/>
                <w:szCs w:val="20"/>
              </w:rPr>
            </w:pPr>
            <w:r>
              <w:rPr>
                <w:rFonts w:cs="Times New Roman"/>
                <w:sz w:val="20"/>
                <w:szCs w:val="20"/>
              </w:rPr>
              <w:t>-7.61/-7.39</w:t>
            </w:r>
          </w:p>
        </w:tc>
        <w:tc>
          <w:tcPr>
            <w:tcW w:w="929" w:type="pct"/>
            <w:vAlign w:val="center"/>
          </w:tcPr>
          <w:p w14:paraId="11089652">
            <w:pPr>
              <w:autoSpaceDE w:val="0"/>
              <w:autoSpaceDN w:val="0"/>
              <w:adjustRightInd w:val="0"/>
              <w:spacing w:line="240" w:lineRule="auto"/>
              <w:jc w:val="center"/>
              <w:rPr>
                <w:rFonts w:cs="Times New Roman"/>
                <w:sz w:val="20"/>
                <w:szCs w:val="20"/>
              </w:rPr>
            </w:pPr>
            <w:r>
              <w:rPr>
                <w:rFonts w:cs="Times New Roman"/>
                <w:sz w:val="20"/>
                <w:szCs w:val="20"/>
              </w:rPr>
              <w:t>0.38/0.38</w:t>
            </w:r>
          </w:p>
        </w:tc>
        <w:tc>
          <w:tcPr>
            <w:tcW w:w="1062" w:type="pct"/>
            <w:vAlign w:val="center"/>
          </w:tcPr>
          <w:p w14:paraId="117B7978">
            <w:pPr>
              <w:autoSpaceDE w:val="0"/>
              <w:autoSpaceDN w:val="0"/>
              <w:adjustRightInd w:val="0"/>
              <w:spacing w:line="240" w:lineRule="auto"/>
              <w:jc w:val="center"/>
              <w:rPr>
                <w:rFonts w:cs="Times New Roman"/>
                <w:sz w:val="20"/>
                <w:szCs w:val="20"/>
              </w:rPr>
            </w:pPr>
            <w:r>
              <w:rPr>
                <w:rFonts w:cs="Times New Roman"/>
                <w:sz w:val="20"/>
                <w:szCs w:val="20"/>
              </w:rPr>
              <w:t>-7.07/-7.08</w:t>
            </w:r>
          </w:p>
        </w:tc>
        <w:tc>
          <w:tcPr>
            <w:tcW w:w="929" w:type="pct"/>
            <w:vAlign w:val="center"/>
          </w:tcPr>
          <w:p w14:paraId="48EFB47B">
            <w:pPr>
              <w:autoSpaceDE w:val="0"/>
              <w:autoSpaceDN w:val="0"/>
              <w:adjustRightInd w:val="0"/>
              <w:spacing w:line="240" w:lineRule="auto"/>
              <w:jc w:val="center"/>
              <w:rPr>
                <w:rFonts w:cs="Times New Roman"/>
                <w:sz w:val="20"/>
                <w:szCs w:val="20"/>
              </w:rPr>
            </w:pPr>
            <w:r>
              <w:rPr>
                <w:rFonts w:cs="Times New Roman"/>
                <w:sz w:val="20"/>
                <w:szCs w:val="20"/>
              </w:rPr>
              <w:t>0.21/0.45</w:t>
            </w:r>
          </w:p>
        </w:tc>
      </w:tr>
      <w:tr w14:paraId="6AA5FEE9">
        <w:trPr>
          <w:jc w:val="center"/>
        </w:trPr>
        <w:tc>
          <w:tcPr>
            <w:tcW w:w="1017" w:type="pct"/>
            <w:vAlign w:val="center"/>
          </w:tcPr>
          <w:p w14:paraId="1FC83F10">
            <w:pPr>
              <w:autoSpaceDE w:val="0"/>
              <w:autoSpaceDN w:val="0"/>
              <w:adjustRightInd w:val="0"/>
              <w:spacing w:line="240" w:lineRule="auto"/>
              <w:jc w:val="center"/>
              <w:rPr>
                <w:rFonts w:cs="Times New Roman"/>
                <w:sz w:val="20"/>
                <w:szCs w:val="20"/>
              </w:rPr>
            </w:pPr>
            <w:r>
              <w:rPr>
                <w:rFonts w:cs="Times New Roman"/>
                <w:sz w:val="20"/>
                <w:szCs w:val="20"/>
              </w:rPr>
              <w:t>13</w:t>
            </w:r>
          </w:p>
        </w:tc>
        <w:tc>
          <w:tcPr>
            <w:tcW w:w="1062" w:type="pct"/>
            <w:vAlign w:val="center"/>
          </w:tcPr>
          <w:p w14:paraId="60281C5B">
            <w:pPr>
              <w:autoSpaceDE w:val="0"/>
              <w:autoSpaceDN w:val="0"/>
              <w:adjustRightInd w:val="0"/>
              <w:spacing w:line="240" w:lineRule="auto"/>
              <w:jc w:val="center"/>
              <w:rPr>
                <w:rFonts w:cs="Times New Roman"/>
                <w:sz w:val="20"/>
                <w:szCs w:val="20"/>
              </w:rPr>
            </w:pPr>
            <w:r>
              <w:rPr>
                <w:rFonts w:cs="Times New Roman"/>
                <w:sz w:val="20"/>
                <w:szCs w:val="20"/>
              </w:rPr>
              <w:t>-7.64/-7.41</w:t>
            </w:r>
          </w:p>
        </w:tc>
        <w:tc>
          <w:tcPr>
            <w:tcW w:w="929" w:type="pct"/>
            <w:vAlign w:val="center"/>
          </w:tcPr>
          <w:p w14:paraId="7DD4BD33">
            <w:pPr>
              <w:autoSpaceDE w:val="0"/>
              <w:autoSpaceDN w:val="0"/>
              <w:adjustRightInd w:val="0"/>
              <w:spacing w:line="240" w:lineRule="auto"/>
              <w:jc w:val="center"/>
              <w:rPr>
                <w:rFonts w:cs="Times New Roman"/>
                <w:sz w:val="20"/>
                <w:szCs w:val="20"/>
              </w:rPr>
            </w:pPr>
            <w:r>
              <w:rPr>
                <w:rFonts w:cs="Times New Roman"/>
                <w:sz w:val="20"/>
                <w:szCs w:val="20"/>
              </w:rPr>
              <w:t>0.35/0.38</w:t>
            </w:r>
          </w:p>
        </w:tc>
        <w:tc>
          <w:tcPr>
            <w:tcW w:w="1062" w:type="pct"/>
            <w:vAlign w:val="center"/>
          </w:tcPr>
          <w:p w14:paraId="656B4E2D">
            <w:pPr>
              <w:autoSpaceDE w:val="0"/>
              <w:autoSpaceDN w:val="0"/>
              <w:adjustRightInd w:val="0"/>
              <w:spacing w:line="240" w:lineRule="auto"/>
              <w:jc w:val="center"/>
              <w:rPr>
                <w:rFonts w:cs="Times New Roman"/>
                <w:sz w:val="20"/>
                <w:szCs w:val="20"/>
              </w:rPr>
            </w:pPr>
            <w:r>
              <w:rPr>
                <w:rFonts w:cs="Times New Roman"/>
                <w:sz w:val="20"/>
                <w:szCs w:val="20"/>
              </w:rPr>
              <w:t>-7.12/-7.11</w:t>
            </w:r>
          </w:p>
        </w:tc>
        <w:tc>
          <w:tcPr>
            <w:tcW w:w="929" w:type="pct"/>
            <w:vAlign w:val="center"/>
          </w:tcPr>
          <w:p w14:paraId="60A30FE7">
            <w:pPr>
              <w:autoSpaceDE w:val="0"/>
              <w:autoSpaceDN w:val="0"/>
              <w:adjustRightInd w:val="0"/>
              <w:spacing w:line="240" w:lineRule="auto"/>
              <w:jc w:val="center"/>
              <w:rPr>
                <w:rFonts w:cs="Times New Roman"/>
                <w:sz w:val="20"/>
                <w:szCs w:val="20"/>
              </w:rPr>
            </w:pPr>
            <w:r>
              <w:rPr>
                <w:rFonts w:cs="Times New Roman"/>
                <w:sz w:val="20"/>
                <w:szCs w:val="20"/>
              </w:rPr>
              <w:t>0.23/0.46</w:t>
            </w:r>
          </w:p>
        </w:tc>
      </w:tr>
    </w:tbl>
    <w:p w14:paraId="272B0E9D">
      <w:pPr>
        <w:rPr>
          <w:rFonts w:cs="Times New Roman"/>
          <w:b/>
          <w:bCs/>
          <w:i/>
          <w:iCs/>
          <w:sz w:val="20"/>
          <w:szCs w:val="20"/>
          <w:u w:val="single"/>
        </w:rPr>
      </w:pPr>
    </w:p>
    <w:p w14:paraId="6A358EF5">
      <w:pPr>
        <w:rPr>
          <w:rFonts w:cs="Times New Roman"/>
          <w:b/>
          <w:bCs/>
          <w:i/>
          <w:iCs/>
          <w:sz w:val="20"/>
          <w:szCs w:val="20"/>
        </w:rPr>
      </w:pPr>
      <w:r>
        <w:rPr>
          <w:rFonts w:cs="Times New Roman"/>
          <w:b/>
          <w:bCs/>
          <w:i/>
          <w:iCs/>
          <w:sz w:val="20"/>
          <w:szCs w:val="20"/>
          <w:u w:val="single"/>
        </w:rPr>
        <w:t>Observation 2</w:t>
      </w:r>
      <w:r>
        <w:rPr>
          <w:rFonts w:hint="eastAsia" w:cs="Times New Roman"/>
          <w:b/>
          <w:bCs/>
          <w:i/>
          <w:iCs/>
          <w:sz w:val="20"/>
          <w:szCs w:val="20"/>
        </w:rPr>
        <w:t>：</w:t>
      </w:r>
    </w:p>
    <w:p w14:paraId="4E31CD0F">
      <w:pPr>
        <w:pStyle w:val="25"/>
        <w:numPr>
          <w:ilvl w:val="0"/>
          <w:numId w:val="4"/>
        </w:numPr>
        <w:ind w:firstLineChars="0"/>
        <w:rPr>
          <w:rFonts w:cs="Times New Roman"/>
          <w:i/>
          <w:iCs/>
          <w:sz w:val="20"/>
          <w:szCs w:val="20"/>
        </w:rPr>
      </w:pPr>
      <w:r>
        <w:rPr>
          <w:rFonts w:cs="Times New Roman"/>
          <w:i/>
          <w:iCs/>
          <w:sz w:val="20"/>
          <w:szCs w:val="20"/>
        </w:rPr>
        <w:t>In both LoS and NLoS scenarios, the DS decreases with increasing frequency. The rate at which the DS decreases with frequency in LoS scenarios is higher than that predicted by the 3GPP model.</w:t>
      </w:r>
    </w:p>
    <w:p w14:paraId="53C9C97D">
      <w:pPr>
        <w:pStyle w:val="25"/>
        <w:numPr>
          <w:ilvl w:val="0"/>
          <w:numId w:val="4"/>
        </w:numPr>
        <w:ind w:firstLineChars="0"/>
        <w:rPr>
          <w:rFonts w:cs="Times New Roman"/>
          <w:i/>
          <w:iCs/>
          <w:sz w:val="20"/>
          <w:szCs w:val="20"/>
        </w:rPr>
      </w:pPr>
      <w:r>
        <w:rPr>
          <w:rFonts w:cs="Times New Roman"/>
          <w:i/>
          <w:iCs/>
          <w:sz w:val="20"/>
          <w:szCs w:val="20"/>
        </w:rPr>
        <w:t>No significant frequency dependence of DS variance was observed in the NLoS scenario.</w:t>
      </w:r>
    </w:p>
    <w:p w14:paraId="5DF498CE">
      <w:pPr>
        <w:rPr>
          <w:rFonts w:cs="Times New Roman"/>
          <w:i/>
          <w:iCs/>
          <w:sz w:val="20"/>
          <w:szCs w:val="20"/>
        </w:rPr>
      </w:pPr>
      <w:r>
        <w:rPr>
          <w:rFonts w:hint="eastAsia" w:cs="Times New Roman"/>
          <w:b/>
          <w:bCs/>
          <w:i/>
          <w:iCs/>
          <w:sz w:val="20"/>
          <w:szCs w:val="20"/>
          <w:u w:val="single"/>
        </w:rPr>
        <w:t xml:space="preserve">Proposal </w:t>
      </w:r>
      <w:r>
        <w:rPr>
          <w:rFonts w:cs="Times New Roman"/>
          <w:b/>
          <w:bCs/>
          <w:i/>
          <w:iCs/>
          <w:sz w:val="20"/>
          <w:szCs w:val="20"/>
          <w:u w:val="single"/>
        </w:rPr>
        <w:t>2</w:t>
      </w:r>
      <w:r>
        <w:rPr>
          <w:rFonts w:hint="eastAsia" w:cs="Times New Roman"/>
          <w:i/>
          <w:iCs/>
          <w:sz w:val="20"/>
          <w:szCs w:val="20"/>
        </w:rPr>
        <w:t xml:space="preserve">: </w:t>
      </w:r>
      <w:r>
        <w:rPr>
          <w:rFonts w:cs="Times New Roman"/>
          <w:i/>
          <w:iCs/>
          <w:sz w:val="20"/>
          <w:szCs w:val="20"/>
        </w:rPr>
        <w:t>The frequency dependence factor of the mean DS in LoS scenarios needs to be adjusted, while the variance of DS in NLoS scenarios does not have frequency dependence.</w:t>
      </w:r>
    </w:p>
    <w:p w14:paraId="0F0C0024">
      <w:pPr>
        <w:pStyle w:val="25"/>
        <w:ind w:left="360" w:firstLine="0" w:firstLineChars="0"/>
        <w:rPr>
          <w:rFonts w:cs="Times New Roman"/>
          <w:sz w:val="20"/>
          <w:szCs w:val="20"/>
        </w:rPr>
      </w:pPr>
    </w:p>
    <w:p w14:paraId="2639312E">
      <w:pPr>
        <w:rPr>
          <w:rFonts w:hint="default" w:ascii="Times New Roman Regular" w:hAnsi="Times New Roman Regular" w:cs="Times New Roman Regular"/>
        </w:rPr>
      </w:pPr>
      <w:r>
        <w:rPr>
          <w:rFonts w:hint="default" w:ascii="Times New Roman Regular" w:hAnsi="Times New Roman Regular" w:cs="Times New Roman Regular"/>
        </w:rPr>
        <w:t xml:space="preserve">2.2.3 Angular spread </w:t>
      </w:r>
    </w:p>
    <w:p w14:paraId="1D2DD47A">
      <w:pPr>
        <w:ind w:firstLine="200" w:firstLineChars="100"/>
        <w:rPr>
          <w:rFonts w:cs="Times New Roman"/>
          <w:sz w:val="20"/>
          <w:szCs w:val="20"/>
        </w:rPr>
      </w:pPr>
      <w:r>
        <w:rPr>
          <w:rFonts w:cs="Times New Roman"/>
          <w:sz w:val="20"/>
          <w:szCs w:val="20"/>
        </w:rPr>
        <w:t xml:space="preserve">The azimuth angle of arrival spread (ASA) measurement and fitting results at 7, 10, and 13 GHz are shown in </w:t>
      </w:r>
      <w:r>
        <w:rPr>
          <w:rFonts w:cs="Times New Roman"/>
          <w:sz w:val="20"/>
          <w:szCs w:val="20"/>
        </w:rPr>
        <w:fldChar w:fldCharType="begin"/>
      </w:r>
      <w:r>
        <w:rPr>
          <w:rFonts w:cs="Times New Roman"/>
          <w:sz w:val="20"/>
          <w:szCs w:val="20"/>
        </w:rPr>
        <w:instrText xml:space="preserve"> REF _Ref177639833 \h  \* MERGEFORMAT </w:instrText>
      </w:r>
      <w:r>
        <w:rPr>
          <w:rFonts w:cs="Times New Roman"/>
          <w:sz w:val="20"/>
          <w:szCs w:val="20"/>
        </w:rPr>
        <w:fldChar w:fldCharType="separate"/>
      </w:r>
      <w:r>
        <w:rPr>
          <w:sz w:val="20"/>
          <w:szCs w:val="20"/>
        </w:rPr>
        <w:t>Fig. 4</w:t>
      </w:r>
      <w:r>
        <w:rPr>
          <w:rFonts w:cs="Times New Roman"/>
          <w:sz w:val="20"/>
          <w:szCs w:val="20"/>
        </w:rPr>
        <w:fldChar w:fldCharType="end"/>
      </w:r>
      <w:r>
        <w:rPr>
          <w:rFonts w:cs="Times New Roman"/>
          <w:sz w:val="20"/>
          <w:szCs w:val="20"/>
        </w:rPr>
        <w:t xml:space="preserve">. It can be observed that the ASA decreases with increasing frequency, and the ASAs at all bands follow a log-normal distribution. The specific distribution parameters and comparison with 3GPP are provided in </w:t>
      </w:r>
      <w:r>
        <w:rPr>
          <w:rFonts w:cs="Times New Roman"/>
          <w:sz w:val="20"/>
          <w:szCs w:val="20"/>
        </w:rPr>
        <w:fldChar w:fldCharType="begin"/>
      </w:r>
      <w:r>
        <w:rPr>
          <w:rFonts w:cs="Times New Roman"/>
          <w:sz w:val="20"/>
          <w:szCs w:val="20"/>
        </w:rPr>
        <w:instrText xml:space="preserve"> REF _Ref178534250 \h  \* MERGEFORMAT </w:instrText>
      </w:r>
      <w:r>
        <w:rPr>
          <w:rFonts w:cs="Times New Roman"/>
          <w:sz w:val="20"/>
          <w:szCs w:val="20"/>
        </w:rPr>
        <w:fldChar w:fldCharType="separate"/>
      </w:r>
      <w:r>
        <w:rPr>
          <w:sz w:val="20"/>
          <w:szCs w:val="20"/>
        </w:rPr>
        <w:t>Table 3</w:t>
      </w:r>
      <w:r>
        <w:rPr>
          <w:rFonts w:cs="Times New Roman"/>
          <w:sz w:val="20"/>
          <w:szCs w:val="20"/>
        </w:rPr>
        <w:fldChar w:fldCharType="end"/>
      </w:r>
      <w:r>
        <w:rPr>
          <w:rFonts w:cs="Times New Roman"/>
          <w:sz w:val="20"/>
          <w:szCs w:val="20"/>
        </w:rPr>
        <w:t>.</w:t>
      </w:r>
    </w:p>
    <w:p w14:paraId="2B590EEB">
      <w:pPr>
        <w:rPr>
          <w:rFonts w:cs="Times New Roman"/>
          <w:sz w:val="20"/>
          <w:szCs w:val="20"/>
        </w:rPr>
      </w:pPr>
      <w:r>
        <w:rPr>
          <w:rFonts w:cs="Times New Roman"/>
          <w:sz w:val="20"/>
          <w:szCs w:val="20"/>
        </w:rPr>
        <w:drawing>
          <wp:inline distT="0" distB="0" distL="0" distR="0">
            <wp:extent cx="2627630" cy="2110740"/>
            <wp:effectExtent l="0" t="0" r="127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628000" cy="2111016"/>
                    </a:xfrm>
                    <a:prstGeom prst="rect">
                      <a:avLst/>
                    </a:prstGeom>
                    <a:noFill/>
                    <a:ln>
                      <a:noFill/>
                    </a:ln>
                  </pic:spPr>
                </pic:pic>
              </a:graphicData>
            </a:graphic>
          </wp:inline>
        </w:drawing>
      </w:r>
      <w:r>
        <w:rPr>
          <w:rFonts w:cs="Times New Roman"/>
          <w:sz w:val="20"/>
          <w:szCs w:val="20"/>
        </w:rPr>
        <w:drawing>
          <wp:inline distT="0" distB="0" distL="0" distR="0">
            <wp:extent cx="2627630" cy="2109470"/>
            <wp:effectExtent l="0" t="0" r="1270" b="50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0"/>
                    <a:stretch>
                      <a:fillRect/>
                    </a:stretch>
                  </pic:blipFill>
                  <pic:spPr>
                    <a:xfrm>
                      <a:off x="0" y="0"/>
                      <a:ext cx="2628000" cy="2110057"/>
                    </a:xfrm>
                    <a:prstGeom prst="rect">
                      <a:avLst/>
                    </a:prstGeom>
                  </pic:spPr>
                </pic:pic>
              </a:graphicData>
            </a:graphic>
          </wp:inline>
        </w:drawing>
      </w:r>
    </w:p>
    <w:p w14:paraId="1A3E8C40">
      <w:pPr>
        <w:keepNext/>
        <w:jc w:val="center"/>
        <w:rPr>
          <w:rFonts w:cs="Times New Roman"/>
          <w:sz w:val="20"/>
          <w:szCs w:val="20"/>
        </w:rPr>
      </w:pPr>
      <w:r>
        <w:rPr>
          <w:rFonts w:hint="eastAsia" w:cs="Times New Roman"/>
          <w:sz w:val="20"/>
          <w:szCs w:val="20"/>
        </w:rPr>
        <w:t>(</w:t>
      </w:r>
      <w:r>
        <w:rPr>
          <w:rFonts w:cs="Times New Roman"/>
          <w:sz w:val="20"/>
          <w:szCs w:val="20"/>
        </w:rPr>
        <w:t>a)                                   (b)</w:t>
      </w:r>
    </w:p>
    <w:p w14:paraId="1243BBBA">
      <w:pPr>
        <w:pStyle w:val="5"/>
        <w:jc w:val="center"/>
      </w:pPr>
      <w:bookmarkStart w:id="8" w:name="_Ref177639833"/>
      <w:r>
        <w:t xml:space="preserve">Fig. </w:t>
      </w:r>
      <w:r>
        <w:fldChar w:fldCharType="begin"/>
      </w:r>
      <w:r>
        <w:instrText xml:space="preserve"> SEQ Fig. \* ARABIC </w:instrText>
      </w:r>
      <w:r>
        <w:fldChar w:fldCharType="separate"/>
      </w:r>
      <w:r>
        <w:t>4</w:t>
      </w:r>
      <w:r>
        <w:fldChar w:fldCharType="end"/>
      </w:r>
      <w:bookmarkEnd w:id="8"/>
      <w:r>
        <w:t>. ASA at different frequency bands in (a) LoS and (b) NLoS scenarios.</w:t>
      </w:r>
    </w:p>
    <w:p w14:paraId="707ADB83">
      <w:pPr>
        <w:rPr>
          <w:sz w:val="20"/>
          <w:szCs w:val="20"/>
        </w:rPr>
      </w:pPr>
    </w:p>
    <w:p w14:paraId="4BEC5924">
      <w:pPr>
        <w:pStyle w:val="5"/>
        <w:keepNext/>
        <w:jc w:val="center"/>
      </w:pPr>
      <w:bookmarkStart w:id="9" w:name="_Ref178534250"/>
      <w:r>
        <w:t xml:space="preserve">Table </w:t>
      </w:r>
      <w:r>
        <w:fldChar w:fldCharType="begin"/>
      </w:r>
      <w:r>
        <w:instrText xml:space="preserve"> SEQ Table \* ARABIC </w:instrText>
      </w:r>
      <w:r>
        <w:fldChar w:fldCharType="separate"/>
      </w:r>
      <w:r>
        <w:t>3</w:t>
      </w:r>
      <w:r>
        <w:fldChar w:fldCharType="end"/>
      </w:r>
      <w:bookmarkEnd w:id="9"/>
      <w:r>
        <w:t>. ASA fitting parameters at different frequency bands [1].</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4"/>
        <w:gridCol w:w="2132"/>
        <w:gridCol w:w="1853"/>
        <w:gridCol w:w="2020"/>
        <w:gridCol w:w="1945"/>
      </w:tblGrid>
      <w:tr w14:paraId="10E54502">
        <w:tc>
          <w:tcPr>
            <w:tcW w:w="966" w:type="pct"/>
            <w:vMerge w:val="restart"/>
            <w:vAlign w:val="center"/>
          </w:tcPr>
          <w:p w14:paraId="39CADCA3">
            <w:pPr>
              <w:autoSpaceDE w:val="0"/>
              <w:autoSpaceDN w:val="0"/>
              <w:adjustRightInd w:val="0"/>
              <w:spacing w:line="240" w:lineRule="auto"/>
              <w:jc w:val="center"/>
              <w:rPr>
                <w:rFonts w:cs="Times New Roman"/>
                <w:sz w:val="20"/>
                <w:szCs w:val="20"/>
              </w:rPr>
            </w:pPr>
            <w:r>
              <w:rPr>
                <w:rFonts w:cs="Times New Roman"/>
                <w:sz w:val="20"/>
                <w:szCs w:val="20"/>
              </w:rPr>
              <w:t>Frequency</w:t>
            </w:r>
          </w:p>
          <w:p w14:paraId="47D28308">
            <w:pPr>
              <w:autoSpaceDE w:val="0"/>
              <w:autoSpaceDN w:val="0"/>
              <w:adjustRightInd w:val="0"/>
              <w:spacing w:line="240" w:lineRule="auto"/>
              <w:jc w:val="center"/>
              <w:rPr>
                <w:rFonts w:cs="Times New Roman"/>
                <w:sz w:val="20"/>
                <w:szCs w:val="20"/>
              </w:rPr>
            </w:pPr>
            <w:r>
              <w:rPr>
                <w:rFonts w:hint="eastAsia" w:cs="Times New Roman"/>
                <w:sz w:val="20"/>
                <w:szCs w:val="20"/>
              </w:rPr>
              <w:t>(</w:t>
            </w:r>
            <w:r>
              <w:rPr>
                <w:rFonts w:cs="Times New Roman"/>
                <w:sz w:val="20"/>
                <w:szCs w:val="20"/>
              </w:rPr>
              <w:t xml:space="preserve">GHz) </w:t>
            </w:r>
          </w:p>
        </w:tc>
        <w:tc>
          <w:tcPr>
            <w:tcW w:w="2022" w:type="pct"/>
            <w:gridSpan w:val="2"/>
            <w:vAlign w:val="center"/>
          </w:tcPr>
          <w:p w14:paraId="71F9ABC3">
            <w:pPr>
              <w:autoSpaceDE w:val="0"/>
              <w:autoSpaceDN w:val="0"/>
              <w:adjustRightInd w:val="0"/>
              <w:spacing w:line="240" w:lineRule="auto"/>
              <w:jc w:val="center"/>
              <w:rPr>
                <w:rFonts w:cs="Times New Roman"/>
                <w:sz w:val="20"/>
                <w:szCs w:val="20"/>
              </w:rPr>
            </w:pPr>
            <w:r>
              <w:rPr>
                <w:rFonts w:cs="Times New Roman"/>
                <w:sz w:val="20"/>
                <w:szCs w:val="20"/>
              </w:rPr>
              <w:t>LoS</w:t>
            </w:r>
          </w:p>
          <w:p w14:paraId="123F3A39">
            <w:pPr>
              <w:autoSpaceDE w:val="0"/>
              <w:autoSpaceDN w:val="0"/>
              <w:adjustRightInd w:val="0"/>
              <w:spacing w:line="240" w:lineRule="auto"/>
              <w:jc w:val="center"/>
              <w:rPr>
                <w:rFonts w:cs="Times New Roman"/>
                <w:sz w:val="20"/>
                <w:szCs w:val="20"/>
              </w:rPr>
            </w:pPr>
            <w:r>
              <w:rPr>
                <w:rFonts w:cs="Times New Roman"/>
                <w:sz w:val="20"/>
                <w:szCs w:val="20"/>
              </w:rPr>
              <w:t>Measurements/3GPP</w:t>
            </w:r>
          </w:p>
        </w:tc>
        <w:tc>
          <w:tcPr>
            <w:tcW w:w="2012" w:type="pct"/>
            <w:gridSpan w:val="2"/>
            <w:vAlign w:val="center"/>
          </w:tcPr>
          <w:p w14:paraId="1EA96338">
            <w:pPr>
              <w:autoSpaceDE w:val="0"/>
              <w:autoSpaceDN w:val="0"/>
              <w:adjustRightInd w:val="0"/>
              <w:spacing w:line="240" w:lineRule="auto"/>
              <w:jc w:val="center"/>
              <w:rPr>
                <w:rFonts w:cs="Times New Roman"/>
                <w:sz w:val="20"/>
                <w:szCs w:val="20"/>
              </w:rPr>
            </w:pPr>
            <w:r>
              <w:rPr>
                <w:rFonts w:cs="Times New Roman"/>
                <w:sz w:val="20"/>
                <w:szCs w:val="20"/>
              </w:rPr>
              <w:t>NLoS</w:t>
            </w:r>
          </w:p>
          <w:p w14:paraId="63500BE5">
            <w:pPr>
              <w:autoSpaceDE w:val="0"/>
              <w:autoSpaceDN w:val="0"/>
              <w:adjustRightInd w:val="0"/>
              <w:spacing w:line="240" w:lineRule="auto"/>
              <w:jc w:val="center"/>
              <w:rPr>
                <w:rFonts w:cs="Times New Roman"/>
                <w:sz w:val="20"/>
                <w:szCs w:val="20"/>
              </w:rPr>
            </w:pPr>
            <w:r>
              <w:rPr>
                <w:rFonts w:cs="Times New Roman"/>
                <w:sz w:val="20"/>
                <w:szCs w:val="20"/>
              </w:rPr>
              <w:t>Measurements/3GPP</w:t>
            </w:r>
          </w:p>
        </w:tc>
      </w:tr>
      <w:tr w14:paraId="4FB0DAC8">
        <w:tc>
          <w:tcPr>
            <w:tcW w:w="966" w:type="pct"/>
            <w:vMerge w:val="continue"/>
            <w:vAlign w:val="center"/>
          </w:tcPr>
          <w:p w14:paraId="46951805">
            <w:pPr>
              <w:autoSpaceDE w:val="0"/>
              <w:autoSpaceDN w:val="0"/>
              <w:adjustRightInd w:val="0"/>
              <w:spacing w:line="240" w:lineRule="auto"/>
              <w:jc w:val="center"/>
              <w:rPr>
                <w:rFonts w:cs="Times New Roman"/>
                <w:sz w:val="20"/>
                <w:szCs w:val="20"/>
              </w:rPr>
            </w:pPr>
          </w:p>
        </w:tc>
        <w:tc>
          <w:tcPr>
            <w:tcW w:w="1082" w:type="pct"/>
            <w:vAlign w:val="center"/>
          </w:tcPr>
          <w:p w14:paraId="60C75DCB">
            <w:pPr>
              <w:autoSpaceDE w:val="0"/>
              <w:autoSpaceDN w:val="0"/>
              <w:adjustRightInd w:val="0"/>
              <w:spacing w:line="240" w:lineRule="auto"/>
              <w:jc w:val="center"/>
              <w:rPr>
                <w:rFonts w:cs="Times New Roman"/>
                <w:sz w:val="20"/>
                <w:szCs w:val="20"/>
              </w:rPr>
            </w:pPr>
            <m:oMath>
              <m:sSub>
                <m:sSubPr>
                  <m:ctrlPr>
                    <w:rPr>
                      <w:rFonts w:ascii="Cambria Math" w:hAnsi="Cambria Math" w:cs="Times New Roman"/>
                      <w:i/>
                      <w:sz w:val="20"/>
                      <w:szCs w:val="20"/>
                    </w:rPr>
                  </m:ctrlPr>
                </m:sSubPr>
                <m:e>
                  <m:r>
                    <m:rPr/>
                    <w:rPr>
                      <w:rFonts w:ascii="Cambria Math" w:hAnsi="Cambria Math" w:cs="Times New Roman"/>
                      <w:sz w:val="20"/>
                      <w:szCs w:val="20"/>
                    </w:rPr>
                    <m:t>µ</m:t>
                  </m:r>
                  <m:ctrlPr>
                    <w:rPr>
                      <w:rFonts w:ascii="Cambria Math" w:hAnsi="Cambria Math" w:cs="Times New Roman"/>
                      <w:i/>
                      <w:sz w:val="20"/>
                      <w:szCs w:val="20"/>
                    </w:rPr>
                  </m:ctrlPr>
                </m:e>
                <m:sub>
                  <m:r>
                    <m:rPr>
                      <m:sty m:val="p"/>
                    </m:rPr>
                    <w:rPr>
                      <w:rFonts w:ascii="Cambria Math" w:hAnsi="Cambria Math" w:cs="Times New Roman"/>
                      <w:sz w:val="20"/>
                      <w:szCs w:val="20"/>
                    </w:rPr>
                    <m:t>lg(ASA)</m:t>
                  </m:r>
                  <m:ctrlPr>
                    <w:rPr>
                      <w:rFonts w:ascii="Cambria Math" w:hAnsi="Cambria Math" w:cs="Times New Roman"/>
                      <w:i/>
                      <w:sz w:val="20"/>
                      <w:szCs w:val="20"/>
                    </w:rPr>
                  </m:ctrlPr>
                </m:sub>
              </m:sSub>
              <m:r>
                <m:rPr/>
                <w:rPr>
                  <w:rFonts w:ascii="Cambria Math" w:hAnsi="Cambria Math" w:cs="Times New Roman"/>
                  <w:sz w:val="20"/>
                  <w:szCs w:val="20"/>
                </w:rPr>
                <m:t xml:space="preserve"> </m:t>
              </m:r>
            </m:oMath>
            <w:r>
              <w:rPr>
                <w:sz w:val="20"/>
                <w:szCs w:val="20"/>
              </w:rPr>
              <w:t>(</w:t>
            </w:r>
            <w:r>
              <w:rPr>
                <w:sz w:val="20"/>
                <w:szCs w:val="20"/>
                <w:vertAlign w:val="superscript"/>
              </w:rPr>
              <w:t>o</w:t>
            </w:r>
            <w:r>
              <w:rPr>
                <w:sz w:val="20"/>
                <w:szCs w:val="20"/>
              </w:rPr>
              <w:t>)</w:t>
            </w:r>
          </w:p>
        </w:tc>
        <w:tc>
          <w:tcPr>
            <w:tcW w:w="940" w:type="pct"/>
            <w:vAlign w:val="center"/>
          </w:tcPr>
          <w:p w14:paraId="5B6616C0">
            <w:pPr>
              <w:autoSpaceDE w:val="0"/>
              <w:autoSpaceDN w:val="0"/>
              <w:adjustRightInd w:val="0"/>
              <w:spacing w:line="240" w:lineRule="auto"/>
              <w:jc w:val="center"/>
              <w:rPr>
                <w:rFonts w:cs="Times New Roman"/>
                <w:sz w:val="20"/>
                <w:szCs w:val="20"/>
              </w:rPr>
            </w:pPr>
            <m:oMath>
              <m:sSub>
                <m:sSubPr>
                  <m:ctrlPr>
                    <w:rPr>
                      <w:rFonts w:ascii="Cambria Math" w:hAnsi="Cambria Math" w:cs="Times New Roman"/>
                      <w:i/>
                      <w:sz w:val="20"/>
                      <w:szCs w:val="20"/>
                    </w:rPr>
                  </m:ctrlPr>
                </m:sSubPr>
                <m:e>
                  <m:r>
                    <m:rPr/>
                    <w:rPr>
                      <w:rFonts w:ascii="Cambria Math" w:hAnsi="Cambria Math" w:cs="Times New Roman"/>
                      <w:sz w:val="20"/>
                      <w:szCs w:val="20"/>
                    </w:rPr>
                    <m:t>σ</m:t>
                  </m:r>
                  <m:ctrlPr>
                    <w:rPr>
                      <w:rFonts w:ascii="Cambria Math" w:hAnsi="Cambria Math" w:cs="Times New Roman"/>
                      <w:i/>
                      <w:sz w:val="20"/>
                      <w:szCs w:val="20"/>
                    </w:rPr>
                  </m:ctrlPr>
                </m:e>
                <m:sub>
                  <m:r>
                    <m:rPr>
                      <m:sty m:val="p"/>
                    </m:rPr>
                    <w:rPr>
                      <w:rFonts w:ascii="Cambria Math" w:hAnsi="Cambria Math" w:cs="Times New Roman"/>
                      <w:sz w:val="20"/>
                      <w:szCs w:val="20"/>
                    </w:rPr>
                    <m:t>lg(ASA)</m:t>
                  </m:r>
                  <m:ctrlPr>
                    <w:rPr>
                      <w:rFonts w:ascii="Cambria Math" w:hAnsi="Cambria Math" w:cs="Times New Roman"/>
                      <w:i/>
                      <w:sz w:val="20"/>
                      <w:szCs w:val="20"/>
                    </w:rPr>
                  </m:ctrlPr>
                </m:sub>
              </m:sSub>
              <m:r>
                <m:rPr/>
                <w:rPr>
                  <w:rFonts w:ascii="Cambria Math" w:hAnsi="Cambria Math" w:cs="Times New Roman"/>
                  <w:sz w:val="20"/>
                  <w:szCs w:val="20"/>
                </w:rPr>
                <m:t xml:space="preserve"> </m:t>
              </m:r>
            </m:oMath>
            <w:r>
              <w:rPr>
                <w:sz w:val="20"/>
                <w:szCs w:val="20"/>
              </w:rPr>
              <w:t>(</w:t>
            </w:r>
            <w:r>
              <w:rPr>
                <w:sz w:val="20"/>
                <w:szCs w:val="20"/>
                <w:vertAlign w:val="superscript"/>
              </w:rPr>
              <w:t>o</w:t>
            </w:r>
            <w:r>
              <w:rPr>
                <w:sz w:val="20"/>
                <w:szCs w:val="20"/>
              </w:rPr>
              <w:t>)</w:t>
            </w:r>
          </w:p>
        </w:tc>
        <w:tc>
          <w:tcPr>
            <w:tcW w:w="1025" w:type="pct"/>
            <w:vAlign w:val="center"/>
          </w:tcPr>
          <w:p w14:paraId="7683B411">
            <w:pPr>
              <w:autoSpaceDE w:val="0"/>
              <w:autoSpaceDN w:val="0"/>
              <w:adjustRightInd w:val="0"/>
              <w:spacing w:line="240" w:lineRule="auto"/>
              <w:jc w:val="center"/>
              <w:rPr>
                <w:rFonts w:cs="Times New Roman"/>
                <w:sz w:val="20"/>
                <w:szCs w:val="20"/>
              </w:rPr>
            </w:pPr>
            <m:oMath>
              <m:sSub>
                <m:sSubPr>
                  <m:ctrlPr>
                    <w:rPr>
                      <w:rFonts w:ascii="Cambria Math" w:hAnsi="Cambria Math" w:cs="Times New Roman"/>
                      <w:i/>
                      <w:sz w:val="20"/>
                      <w:szCs w:val="20"/>
                    </w:rPr>
                  </m:ctrlPr>
                </m:sSubPr>
                <m:e>
                  <m:r>
                    <m:rPr/>
                    <w:rPr>
                      <w:rFonts w:ascii="Cambria Math" w:hAnsi="Cambria Math" w:cs="Times New Roman"/>
                      <w:sz w:val="20"/>
                      <w:szCs w:val="20"/>
                    </w:rPr>
                    <m:t>µ</m:t>
                  </m:r>
                  <m:ctrlPr>
                    <w:rPr>
                      <w:rFonts w:ascii="Cambria Math" w:hAnsi="Cambria Math" w:cs="Times New Roman"/>
                      <w:i/>
                      <w:sz w:val="20"/>
                      <w:szCs w:val="20"/>
                    </w:rPr>
                  </m:ctrlPr>
                </m:e>
                <m:sub>
                  <m:r>
                    <m:rPr>
                      <m:sty m:val="p"/>
                    </m:rPr>
                    <w:rPr>
                      <w:rFonts w:ascii="Cambria Math" w:hAnsi="Cambria Math" w:cs="Times New Roman"/>
                      <w:sz w:val="20"/>
                      <w:szCs w:val="20"/>
                    </w:rPr>
                    <m:t xml:space="preserve">lg(ASA) </m:t>
                  </m:r>
                  <m:ctrlPr>
                    <w:rPr>
                      <w:rFonts w:ascii="Cambria Math" w:hAnsi="Cambria Math" w:cs="Times New Roman"/>
                      <w:i/>
                      <w:sz w:val="20"/>
                      <w:szCs w:val="20"/>
                    </w:rPr>
                  </m:ctrlPr>
                </m:sub>
              </m:sSub>
            </m:oMath>
            <w:r>
              <w:rPr>
                <w:sz w:val="20"/>
                <w:szCs w:val="20"/>
              </w:rPr>
              <w:t>(</w:t>
            </w:r>
            <w:r>
              <w:rPr>
                <w:sz w:val="20"/>
                <w:szCs w:val="20"/>
                <w:vertAlign w:val="superscript"/>
              </w:rPr>
              <w:t>o</w:t>
            </w:r>
            <w:r>
              <w:rPr>
                <w:sz w:val="20"/>
                <w:szCs w:val="20"/>
              </w:rPr>
              <w:t>)</w:t>
            </w:r>
          </w:p>
        </w:tc>
        <w:tc>
          <w:tcPr>
            <w:tcW w:w="987" w:type="pct"/>
            <w:vAlign w:val="center"/>
          </w:tcPr>
          <w:p w14:paraId="359FD4BB">
            <w:pPr>
              <w:autoSpaceDE w:val="0"/>
              <w:autoSpaceDN w:val="0"/>
              <w:adjustRightInd w:val="0"/>
              <w:spacing w:line="240" w:lineRule="auto"/>
              <w:jc w:val="center"/>
              <w:rPr>
                <w:rFonts w:cs="Times New Roman"/>
                <w:sz w:val="20"/>
                <w:szCs w:val="20"/>
              </w:rPr>
            </w:pPr>
            <m:oMath>
              <m:sSub>
                <m:sSubPr>
                  <m:ctrlPr>
                    <w:rPr>
                      <w:rFonts w:ascii="Cambria Math" w:hAnsi="Cambria Math" w:cs="Times New Roman"/>
                      <w:i/>
                      <w:sz w:val="20"/>
                      <w:szCs w:val="20"/>
                    </w:rPr>
                  </m:ctrlPr>
                </m:sSubPr>
                <m:e>
                  <m:r>
                    <m:rPr/>
                    <w:rPr>
                      <w:rFonts w:ascii="Cambria Math" w:hAnsi="Cambria Math" w:cs="Times New Roman"/>
                      <w:sz w:val="20"/>
                      <w:szCs w:val="20"/>
                    </w:rPr>
                    <m:t>σ</m:t>
                  </m:r>
                  <m:ctrlPr>
                    <w:rPr>
                      <w:rFonts w:ascii="Cambria Math" w:hAnsi="Cambria Math" w:cs="Times New Roman"/>
                      <w:i/>
                      <w:sz w:val="20"/>
                      <w:szCs w:val="20"/>
                    </w:rPr>
                  </m:ctrlPr>
                </m:e>
                <m:sub>
                  <m:r>
                    <m:rPr>
                      <m:sty m:val="p"/>
                    </m:rPr>
                    <w:rPr>
                      <w:rFonts w:ascii="Cambria Math" w:hAnsi="Cambria Math" w:cs="Times New Roman"/>
                      <w:sz w:val="20"/>
                      <w:szCs w:val="20"/>
                    </w:rPr>
                    <m:t>lg(ASA)</m:t>
                  </m:r>
                  <m:ctrlPr>
                    <w:rPr>
                      <w:rFonts w:ascii="Cambria Math" w:hAnsi="Cambria Math" w:cs="Times New Roman"/>
                      <w:i/>
                      <w:sz w:val="20"/>
                      <w:szCs w:val="20"/>
                    </w:rPr>
                  </m:ctrlPr>
                </m:sub>
              </m:sSub>
              <m:r>
                <m:rPr/>
                <w:rPr>
                  <w:rFonts w:ascii="Cambria Math" w:hAnsi="Cambria Math" w:cs="Times New Roman"/>
                  <w:sz w:val="20"/>
                  <w:szCs w:val="20"/>
                </w:rPr>
                <m:t xml:space="preserve"> </m:t>
              </m:r>
            </m:oMath>
            <w:r>
              <w:rPr>
                <w:sz w:val="20"/>
                <w:szCs w:val="20"/>
              </w:rPr>
              <w:t>(</w:t>
            </w:r>
            <w:r>
              <w:rPr>
                <w:sz w:val="20"/>
                <w:szCs w:val="20"/>
                <w:vertAlign w:val="superscript"/>
              </w:rPr>
              <w:t>o</w:t>
            </w:r>
            <w:r>
              <w:rPr>
                <w:sz w:val="20"/>
                <w:szCs w:val="20"/>
              </w:rPr>
              <w:t>)</w:t>
            </w:r>
          </w:p>
        </w:tc>
      </w:tr>
      <w:tr w14:paraId="194E140D">
        <w:tc>
          <w:tcPr>
            <w:tcW w:w="966" w:type="pct"/>
            <w:vAlign w:val="center"/>
          </w:tcPr>
          <w:p w14:paraId="4EC6041F">
            <w:pPr>
              <w:autoSpaceDE w:val="0"/>
              <w:autoSpaceDN w:val="0"/>
              <w:adjustRightInd w:val="0"/>
              <w:spacing w:line="240" w:lineRule="auto"/>
              <w:jc w:val="center"/>
              <w:rPr>
                <w:rFonts w:cs="Times New Roman"/>
                <w:sz w:val="20"/>
                <w:szCs w:val="20"/>
              </w:rPr>
            </w:pPr>
            <w:r>
              <w:rPr>
                <w:rFonts w:cs="Times New Roman"/>
                <w:sz w:val="20"/>
                <w:szCs w:val="20"/>
              </w:rPr>
              <w:t>7</w:t>
            </w:r>
          </w:p>
        </w:tc>
        <w:tc>
          <w:tcPr>
            <w:tcW w:w="1082" w:type="pct"/>
            <w:vAlign w:val="center"/>
          </w:tcPr>
          <w:p w14:paraId="1D98EE75">
            <w:pPr>
              <w:autoSpaceDE w:val="0"/>
              <w:autoSpaceDN w:val="0"/>
              <w:adjustRightInd w:val="0"/>
              <w:spacing w:line="240" w:lineRule="auto"/>
              <w:jc w:val="center"/>
              <w:rPr>
                <w:rFonts w:cs="Times New Roman"/>
                <w:sz w:val="20"/>
                <w:szCs w:val="20"/>
              </w:rPr>
            </w:pPr>
            <w:r>
              <w:rPr>
                <w:rFonts w:cs="Times New Roman"/>
                <w:sz w:val="20"/>
                <w:szCs w:val="20"/>
              </w:rPr>
              <w:t>1.47/1.66</w:t>
            </w:r>
          </w:p>
        </w:tc>
        <w:tc>
          <w:tcPr>
            <w:tcW w:w="940" w:type="pct"/>
            <w:vAlign w:val="center"/>
          </w:tcPr>
          <w:p w14:paraId="0F00C623">
            <w:pPr>
              <w:autoSpaceDE w:val="0"/>
              <w:autoSpaceDN w:val="0"/>
              <w:adjustRightInd w:val="0"/>
              <w:spacing w:line="240" w:lineRule="auto"/>
              <w:jc w:val="center"/>
              <w:rPr>
                <w:rFonts w:cs="Times New Roman"/>
                <w:sz w:val="20"/>
                <w:szCs w:val="20"/>
              </w:rPr>
            </w:pPr>
            <w:r>
              <w:rPr>
                <w:sz w:val="20"/>
                <w:szCs w:val="20"/>
              </w:rPr>
              <w:t>0.07</w:t>
            </w:r>
            <w:r>
              <w:rPr>
                <w:rFonts w:cs="Times New Roman"/>
                <w:sz w:val="20"/>
                <w:szCs w:val="20"/>
              </w:rPr>
              <w:t>/0.29</w:t>
            </w:r>
          </w:p>
        </w:tc>
        <w:tc>
          <w:tcPr>
            <w:tcW w:w="1025" w:type="pct"/>
            <w:vAlign w:val="center"/>
          </w:tcPr>
          <w:p w14:paraId="2BBDF911">
            <w:pPr>
              <w:autoSpaceDE w:val="0"/>
              <w:autoSpaceDN w:val="0"/>
              <w:adjustRightInd w:val="0"/>
              <w:spacing w:line="240" w:lineRule="auto"/>
              <w:jc w:val="center"/>
              <w:rPr>
                <w:rFonts w:cs="Times New Roman"/>
                <w:sz w:val="20"/>
                <w:szCs w:val="20"/>
              </w:rPr>
            </w:pPr>
            <w:r>
              <w:rPr>
                <w:sz w:val="20"/>
                <w:szCs w:val="20"/>
              </w:rPr>
              <w:t>1.64</w:t>
            </w:r>
            <w:r>
              <w:rPr>
                <w:rFonts w:cs="Times New Roman"/>
                <w:sz w:val="20"/>
                <w:szCs w:val="20"/>
              </w:rPr>
              <w:t>/1.74</w:t>
            </w:r>
          </w:p>
        </w:tc>
        <w:tc>
          <w:tcPr>
            <w:tcW w:w="987" w:type="pct"/>
            <w:vAlign w:val="center"/>
          </w:tcPr>
          <w:p w14:paraId="3208DE8A">
            <w:pPr>
              <w:autoSpaceDE w:val="0"/>
              <w:autoSpaceDN w:val="0"/>
              <w:adjustRightInd w:val="0"/>
              <w:spacing w:line="240" w:lineRule="auto"/>
              <w:jc w:val="center"/>
              <w:rPr>
                <w:rFonts w:cs="Times New Roman"/>
                <w:sz w:val="20"/>
                <w:szCs w:val="20"/>
              </w:rPr>
            </w:pPr>
            <w:r>
              <w:rPr>
                <w:sz w:val="20"/>
                <w:szCs w:val="20"/>
              </w:rPr>
              <w:t>0.07</w:t>
            </w:r>
            <w:r>
              <w:rPr>
                <w:rFonts w:cs="Times New Roman"/>
                <w:sz w:val="20"/>
                <w:szCs w:val="20"/>
              </w:rPr>
              <w:t>/0.34</w:t>
            </w:r>
          </w:p>
        </w:tc>
      </w:tr>
      <w:tr w14:paraId="1E21201F">
        <w:tc>
          <w:tcPr>
            <w:tcW w:w="966" w:type="pct"/>
            <w:vAlign w:val="center"/>
          </w:tcPr>
          <w:p w14:paraId="6363E7E0">
            <w:pPr>
              <w:autoSpaceDE w:val="0"/>
              <w:autoSpaceDN w:val="0"/>
              <w:adjustRightInd w:val="0"/>
              <w:spacing w:line="240" w:lineRule="auto"/>
              <w:jc w:val="center"/>
              <w:rPr>
                <w:rFonts w:cs="Times New Roman"/>
                <w:sz w:val="20"/>
                <w:szCs w:val="20"/>
              </w:rPr>
            </w:pPr>
            <w:r>
              <w:rPr>
                <w:rFonts w:cs="Times New Roman"/>
                <w:sz w:val="20"/>
                <w:szCs w:val="20"/>
              </w:rPr>
              <w:t>10</w:t>
            </w:r>
          </w:p>
        </w:tc>
        <w:tc>
          <w:tcPr>
            <w:tcW w:w="1082" w:type="pct"/>
            <w:vAlign w:val="center"/>
          </w:tcPr>
          <w:p w14:paraId="0AC35C36">
            <w:pPr>
              <w:autoSpaceDE w:val="0"/>
              <w:autoSpaceDN w:val="0"/>
              <w:adjustRightInd w:val="0"/>
              <w:spacing w:line="240" w:lineRule="auto"/>
              <w:jc w:val="center"/>
              <w:rPr>
                <w:rFonts w:cs="Times New Roman"/>
                <w:sz w:val="20"/>
                <w:szCs w:val="20"/>
              </w:rPr>
            </w:pPr>
            <w:r>
              <w:rPr>
                <w:sz w:val="20"/>
                <w:szCs w:val="20"/>
              </w:rPr>
              <w:t>1.45</w:t>
            </w:r>
            <w:r>
              <w:rPr>
                <w:rFonts w:cs="Times New Roman"/>
                <w:sz w:val="20"/>
                <w:szCs w:val="20"/>
              </w:rPr>
              <w:t>/1.65</w:t>
            </w:r>
          </w:p>
        </w:tc>
        <w:tc>
          <w:tcPr>
            <w:tcW w:w="940" w:type="pct"/>
            <w:vAlign w:val="center"/>
          </w:tcPr>
          <w:p w14:paraId="03B5434F">
            <w:pPr>
              <w:autoSpaceDE w:val="0"/>
              <w:autoSpaceDN w:val="0"/>
              <w:adjustRightInd w:val="0"/>
              <w:spacing w:line="240" w:lineRule="auto"/>
              <w:jc w:val="center"/>
              <w:rPr>
                <w:rFonts w:cs="Times New Roman"/>
                <w:sz w:val="20"/>
                <w:szCs w:val="20"/>
              </w:rPr>
            </w:pPr>
            <w:r>
              <w:rPr>
                <w:sz w:val="20"/>
                <w:szCs w:val="20"/>
              </w:rPr>
              <w:t>0.08</w:t>
            </w:r>
            <w:r>
              <w:rPr>
                <w:rFonts w:cs="Times New Roman"/>
                <w:sz w:val="20"/>
                <w:szCs w:val="20"/>
              </w:rPr>
              <w:t>/0.29</w:t>
            </w:r>
          </w:p>
        </w:tc>
        <w:tc>
          <w:tcPr>
            <w:tcW w:w="1025" w:type="pct"/>
            <w:vAlign w:val="center"/>
          </w:tcPr>
          <w:p w14:paraId="5BE3F04F">
            <w:pPr>
              <w:autoSpaceDE w:val="0"/>
              <w:autoSpaceDN w:val="0"/>
              <w:adjustRightInd w:val="0"/>
              <w:spacing w:line="240" w:lineRule="auto"/>
              <w:jc w:val="center"/>
              <w:rPr>
                <w:rFonts w:cs="Times New Roman"/>
                <w:sz w:val="20"/>
                <w:szCs w:val="20"/>
              </w:rPr>
            </w:pPr>
            <w:r>
              <w:rPr>
                <w:sz w:val="20"/>
                <w:szCs w:val="20"/>
              </w:rPr>
              <w:t>1.62</w:t>
            </w:r>
            <w:r>
              <w:rPr>
                <w:rFonts w:cs="Times New Roman"/>
                <w:sz w:val="20"/>
                <w:szCs w:val="20"/>
              </w:rPr>
              <w:t>/1.73</w:t>
            </w:r>
          </w:p>
        </w:tc>
        <w:tc>
          <w:tcPr>
            <w:tcW w:w="987" w:type="pct"/>
            <w:vAlign w:val="center"/>
          </w:tcPr>
          <w:p w14:paraId="5286F2E5">
            <w:pPr>
              <w:autoSpaceDE w:val="0"/>
              <w:autoSpaceDN w:val="0"/>
              <w:adjustRightInd w:val="0"/>
              <w:spacing w:line="240" w:lineRule="auto"/>
              <w:jc w:val="center"/>
              <w:rPr>
                <w:rFonts w:cs="Times New Roman"/>
                <w:sz w:val="20"/>
                <w:szCs w:val="20"/>
              </w:rPr>
            </w:pPr>
            <w:r>
              <w:rPr>
                <w:sz w:val="20"/>
                <w:szCs w:val="20"/>
              </w:rPr>
              <w:t>0.06</w:t>
            </w:r>
            <w:r>
              <w:rPr>
                <w:rFonts w:cs="Times New Roman"/>
                <w:sz w:val="20"/>
                <w:szCs w:val="20"/>
              </w:rPr>
              <w:t>/0.35</w:t>
            </w:r>
          </w:p>
        </w:tc>
      </w:tr>
      <w:tr w14:paraId="7697FD16">
        <w:tc>
          <w:tcPr>
            <w:tcW w:w="966" w:type="pct"/>
            <w:vAlign w:val="center"/>
          </w:tcPr>
          <w:p w14:paraId="77DA126F">
            <w:pPr>
              <w:autoSpaceDE w:val="0"/>
              <w:autoSpaceDN w:val="0"/>
              <w:adjustRightInd w:val="0"/>
              <w:spacing w:line="240" w:lineRule="auto"/>
              <w:jc w:val="center"/>
              <w:rPr>
                <w:rFonts w:cs="Times New Roman"/>
                <w:sz w:val="20"/>
                <w:szCs w:val="20"/>
              </w:rPr>
            </w:pPr>
            <w:r>
              <w:rPr>
                <w:rFonts w:cs="Times New Roman"/>
                <w:sz w:val="20"/>
                <w:szCs w:val="20"/>
              </w:rPr>
              <w:t>13</w:t>
            </w:r>
          </w:p>
        </w:tc>
        <w:tc>
          <w:tcPr>
            <w:tcW w:w="1082" w:type="pct"/>
            <w:vAlign w:val="center"/>
          </w:tcPr>
          <w:p w14:paraId="04022FFA">
            <w:pPr>
              <w:autoSpaceDE w:val="0"/>
              <w:autoSpaceDN w:val="0"/>
              <w:adjustRightInd w:val="0"/>
              <w:spacing w:line="240" w:lineRule="auto"/>
              <w:jc w:val="center"/>
              <w:rPr>
                <w:rFonts w:cs="Times New Roman"/>
                <w:sz w:val="20"/>
                <w:szCs w:val="20"/>
              </w:rPr>
            </w:pPr>
            <w:r>
              <w:rPr>
                <w:sz w:val="20"/>
                <w:szCs w:val="20"/>
              </w:rPr>
              <w:t>1.45</w:t>
            </w:r>
            <w:r>
              <w:rPr>
                <w:rFonts w:cs="Times New Roman"/>
                <w:sz w:val="20"/>
                <w:szCs w:val="20"/>
              </w:rPr>
              <w:t>/1.64</w:t>
            </w:r>
          </w:p>
        </w:tc>
        <w:tc>
          <w:tcPr>
            <w:tcW w:w="940" w:type="pct"/>
            <w:vAlign w:val="center"/>
          </w:tcPr>
          <w:p w14:paraId="62F742D7">
            <w:pPr>
              <w:autoSpaceDE w:val="0"/>
              <w:autoSpaceDN w:val="0"/>
              <w:adjustRightInd w:val="0"/>
              <w:spacing w:line="240" w:lineRule="auto"/>
              <w:jc w:val="center"/>
              <w:rPr>
                <w:rFonts w:cs="Times New Roman"/>
                <w:sz w:val="20"/>
                <w:szCs w:val="20"/>
              </w:rPr>
            </w:pPr>
            <w:r>
              <w:rPr>
                <w:sz w:val="20"/>
                <w:szCs w:val="20"/>
              </w:rPr>
              <w:t>0.08</w:t>
            </w:r>
            <w:r>
              <w:rPr>
                <w:rFonts w:cs="Times New Roman"/>
                <w:sz w:val="20"/>
                <w:szCs w:val="20"/>
              </w:rPr>
              <w:t>/0.29</w:t>
            </w:r>
          </w:p>
        </w:tc>
        <w:tc>
          <w:tcPr>
            <w:tcW w:w="1025" w:type="pct"/>
            <w:vAlign w:val="center"/>
          </w:tcPr>
          <w:p w14:paraId="42CC14B6">
            <w:pPr>
              <w:autoSpaceDE w:val="0"/>
              <w:autoSpaceDN w:val="0"/>
              <w:adjustRightInd w:val="0"/>
              <w:spacing w:line="240" w:lineRule="auto"/>
              <w:jc w:val="center"/>
              <w:rPr>
                <w:rFonts w:cs="Times New Roman"/>
                <w:sz w:val="20"/>
                <w:szCs w:val="20"/>
              </w:rPr>
            </w:pPr>
            <w:r>
              <w:rPr>
                <w:sz w:val="20"/>
                <w:szCs w:val="20"/>
              </w:rPr>
              <w:t>1.61</w:t>
            </w:r>
            <w:r>
              <w:rPr>
                <w:rFonts w:cs="Times New Roman"/>
                <w:sz w:val="20"/>
                <w:szCs w:val="20"/>
              </w:rPr>
              <w:t>/1.72</w:t>
            </w:r>
          </w:p>
        </w:tc>
        <w:tc>
          <w:tcPr>
            <w:tcW w:w="987" w:type="pct"/>
            <w:vAlign w:val="center"/>
          </w:tcPr>
          <w:p w14:paraId="2A436575">
            <w:pPr>
              <w:autoSpaceDE w:val="0"/>
              <w:autoSpaceDN w:val="0"/>
              <w:adjustRightInd w:val="0"/>
              <w:spacing w:line="240" w:lineRule="auto"/>
              <w:jc w:val="center"/>
              <w:rPr>
                <w:rFonts w:cs="Times New Roman"/>
                <w:sz w:val="20"/>
                <w:szCs w:val="20"/>
              </w:rPr>
            </w:pPr>
            <w:r>
              <w:rPr>
                <w:sz w:val="20"/>
                <w:szCs w:val="20"/>
              </w:rPr>
              <w:t>0.07</w:t>
            </w:r>
            <w:r>
              <w:rPr>
                <w:rFonts w:cs="Times New Roman"/>
                <w:sz w:val="20"/>
                <w:szCs w:val="20"/>
              </w:rPr>
              <w:t>/0.35</w:t>
            </w:r>
          </w:p>
        </w:tc>
      </w:tr>
    </w:tbl>
    <w:p w14:paraId="3C594E35">
      <w:pPr>
        <w:ind w:firstLine="200" w:firstLineChars="100"/>
        <w:rPr>
          <w:rFonts w:cs="Times New Roman"/>
          <w:sz w:val="20"/>
          <w:szCs w:val="20"/>
        </w:rPr>
      </w:pPr>
    </w:p>
    <w:p w14:paraId="4765EC78">
      <w:pPr>
        <w:ind w:firstLine="200" w:firstLineChars="100"/>
        <w:rPr>
          <w:rFonts w:cs="Times New Roman"/>
          <w:b/>
          <w:bCs/>
          <w:i/>
          <w:iCs/>
          <w:sz w:val="20"/>
          <w:szCs w:val="20"/>
          <w:u w:val="single"/>
        </w:rPr>
      </w:pPr>
      <w:r>
        <w:rPr>
          <w:rFonts w:cs="Times New Roman"/>
          <w:sz w:val="20"/>
          <w:szCs w:val="20"/>
        </w:rPr>
        <w:t xml:space="preserve">The elevation angle of arrival spread (ESA) measurement and fitting results at 7, 10, and 13 GHz are shown in </w:t>
      </w:r>
      <w:r>
        <w:rPr>
          <w:rFonts w:cs="Times New Roman"/>
          <w:sz w:val="20"/>
          <w:szCs w:val="20"/>
        </w:rPr>
        <w:fldChar w:fldCharType="begin"/>
      </w:r>
      <w:r>
        <w:rPr>
          <w:rFonts w:cs="Times New Roman"/>
          <w:sz w:val="20"/>
          <w:szCs w:val="20"/>
        </w:rPr>
        <w:instrText xml:space="preserve"> REF _Ref177650072 \h  \* MERGEFORMAT </w:instrText>
      </w:r>
      <w:r>
        <w:rPr>
          <w:rFonts w:cs="Times New Roman"/>
          <w:sz w:val="20"/>
          <w:szCs w:val="20"/>
        </w:rPr>
        <w:fldChar w:fldCharType="separate"/>
      </w:r>
      <w:r>
        <w:rPr>
          <w:sz w:val="20"/>
          <w:szCs w:val="20"/>
        </w:rPr>
        <w:t>Fig. 5</w:t>
      </w:r>
      <w:r>
        <w:rPr>
          <w:rFonts w:cs="Times New Roman"/>
          <w:sz w:val="20"/>
          <w:szCs w:val="20"/>
        </w:rPr>
        <w:fldChar w:fldCharType="end"/>
      </w:r>
      <w:r>
        <w:rPr>
          <w:rFonts w:cs="Times New Roman"/>
          <w:sz w:val="20"/>
          <w:szCs w:val="20"/>
        </w:rPr>
        <w:t xml:space="preserve">. It can be observed that the ESA decreases with increasing frequency, and the ESAs at all bands follow a log-normal distribution. The specific distribution parameters are provided in </w:t>
      </w:r>
      <w:r>
        <w:rPr>
          <w:rFonts w:cs="Times New Roman"/>
          <w:sz w:val="20"/>
          <w:szCs w:val="20"/>
        </w:rPr>
        <w:fldChar w:fldCharType="begin"/>
      </w:r>
      <w:r>
        <w:rPr>
          <w:rFonts w:cs="Times New Roman"/>
          <w:sz w:val="20"/>
          <w:szCs w:val="20"/>
        </w:rPr>
        <w:instrText xml:space="preserve"> REF _Ref178534242 \h  \* MERGEFORMAT </w:instrText>
      </w:r>
      <w:r>
        <w:rPr>
          <w:rFonts w:cs="Times New Roman"/>
          <w:sz w:val="20"/>
          <w:szCs w:val="20"/>
        </w:rPr>
        <w:fldChar w:fldCharType="separate"/>
      </w:r>
      <w:r>
        <w:rPr>
          <w:sz w:val="20"/>
          <w:szCs w:val="20"/>
        </w:rPr>
        <w:t>Table 4</w:t>
      </w:r>
      <w:r>
        <w:rPr>
          <w:rFonts w:cs="Times New Roman"/>
          <w:sz w:val="20"/>
          <w:szCs w:val="20"/>
        </w:rPr>
        <w:fldChar w:fldCharType="end"/>
      </w:r>
      <w:r>
        <w:rPr>
          <w:rFonts w:cs="Times New Roman"/>
          <w:sz w:val="20"/>
          <w:szCs w:val="20"/>
        </w:rPr>
        <w:t xml:space="preserve">. </w:t>
      </w:r>
    </w:p>
    <w:p w14:paraId="368D6071">
      <w:pPr>
        <w:jc w:val="center"/>
        <w:rPr>
          <w:rFonts w:cs="Times New Roman"/>
          <w:b/>
          <w:bCs/>
          <w:i/>
          <w:iCs/>
          <w:sz w:val="20"/>
          <w:szCs w:val="20"/>
          <w:u w:val="single"/>
        </w:rPr>
      </w:pPr>
      <w:r>
        <w:rPr>
          <w:rFonts w:hint="eastAsia" w:cs="Times New Roman"/>
          <w:sz w:val="20"/>
          <w:szCs w:val="20"/>
        </w:rPr>
        <w:drawing>
          <wp:inline distT="0" distB="0" distL="0" distR="0">
            <wp:extent cx="2627630" cy="2110740"/>
            <wp:effectExtent l="0" t="0" r="127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628000" cy="2111016"/>
                    </a:xfrm>
                    <a:prstGeom prst="rect">
                      <a:avLst/>
                    </a:prstGeom>
                    <a:noFill/>
                    <a:ln>
                      <a:noFill/>
                    </a:ln>
                  </pic:spPr>
                </pic:pic>
              </a:graphicData>
            </a:graphic>
          </wp:inline>
        </w:drawing>
      </w:r>
      <w:r>
        <w:rPr>
          <w:rFonts w:hint="eastAsia" w:cs="Times New Roman"/>
          <w:sz w:val="20"/>
          <w:szCs w:val="20"/>
        </w:rPr>
        <w:drawing>
          <wp:inline distT="0" distB="0" distL="0" distR="0">
            <wp:extent cx="2627630" cy="2106930"/>
            <wp:effectExtent l="0" t="0" r="127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628000" cy="2107426"/>
                    </a:xfrm>
                    <a:prstGeom prst="rect">
                      <a:avLst/>
                    </a:prstGeom>
                    <a:noFill/>
                    <a:ln>
                      <a:noFill/>
                    </a:ln>
                  </pic:spPr>
                </pic:pic>
              </a:graphicData>
            </a:graphic>
          </wp:inline>
        </w:drawing>
      </w:r>
      <w:r>
        <w:rPr>
          <w:rFonts w:hint="eastAsia" w:cs="Times New Roman"/>
          <w:sz w:val="20"/>
          <w:szCs w:val="20"/>
        </w:rPr>
        <w:t xml:space="preserve"> </w:t>
      </w:r>
    </w:p>
    <w:p w14:paraId="575A905C">
      <w:pPr>
        <w:keepNext/>
        <w:jc w:val="center"/>
        <w:rPr>
          <w:rFonts w:cs="Times New Roman"/>
          <w:b/>
          <w:bCs/>
          <w:i/>
          <w:iCs/>
          <w:sz w:val="20"/>
          <w:szCs w:val="20"/>
          <w:u w:val="single"/>
        </w:rPr>
      </w:pPr>
      <w:r>
        <w:rPr>
          <w:rFonts w:hint="eastAsia" w:cs="Times New Roman"/>
          <w:sz w:val="20"/>
          <w:szCs w:val="20"/>
        </w:rPr>
        <w:t>(</w:t>
      </w:r>
      <w:r>
        <w:rPr>
          <w:rFonts w:cs="Times New Roman"/>
          <w:sz w:val="20"/>
          <w:szCs w:val="20"/>
        </w:rPr>
        <w:t>a)                                    (b)</w:t>
      </w:r>
    </w:p>
    <w:p w14:paraId="417FD76D">
      <w:pPr>
        <w:pStyle w:val="5"/>
        <w:jc w:val="center"/>
      </w:pPr>
      <w:bookmarkStart w:id="10" w:name="_Ref177650072"/>
      <w:r>
        <w:t xml:space="preserve">Fig. </w:t>
      </w:r>
      <w:r>
        <w:fldChar w:fldCharType="begin"/>
      </w:r>
      <w:r>
        <w:instrText xml:space="preserve"> SEQ Fig. \* ARABIC </w:instrText>
      </w:r>
      <w:r>
        <w:fldChar w:fldCharType="separate"/>
      </w:r>
      <w:r>
        <w:t>5</w:t>
      </w:r>
      <w:r>
        <w:fldChar w:fldCharType="end"/>
      </w:r>
      <w:bookmarkEnd w:id="10"/>
      <w:r>
        <w:t>. ESA at different frequency bands in (a) LoS and (b) NLoS scenarios.</w:t>
      </w:r>
    </w:p>
    <w:p w14:paraId="44BDA11E">
      <w:pPr>
        <w:rPr>
          <w:sz w:val="20"/>
          <w:szCs w:val="20"/>
        </w:rPr>
      </w:pPr>
    </w:p>
    <w:p w14:paraId="358D988A">
      <w:pPr>
        <w:pStyle w:val="5"/>
        <w:keepNext/>
        <w:jc w:val="center"/>
      </w:pPr>
      <w:bookmarkStart w:id="11" w:name="_Ref178534242"/>
      <w:r>
        <w:t xml:space="preserve">Table </w:t>
      </w:r>
      <w:r>
        <w:fldChar w:fldCharType="begin"/>
      </w:r>
      <w:r>
        <w:instrText xml:space="preserve"> SEQ Table \* ARABIC </w:instrText>
      </w:r>
      <w:r>
        <w:fldChar w:fldCharType="separate"/>
      </w:r>
      <w:r>
        <w:t>4</w:t>
      </w:r>
      <w:r>
        <w:fldChar w:fldCharType="end"/>
      </w:r>
      <w:bookmarkEnd w:id="11"/>
      <w:r>
        <w:t>. ESA fitting parameters at different frequency bands [1].</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38"/>
        <w:gridCol w:w="2166"/>
        <w:gridCol w:w="1805"/>
        <w:gridCol w:w="1900"/>
        <w:gridCol w:w="1945"/>
      </w:tblGrid>
      <w:tr w14:paraId="3796560D">
        <w:tc>
          <w:tcPr>
            <w:tcW w:w="1034" w:type="pct"/>
            <w:vMerge w:val="restart"/>
            <w:vAlign w:val="center"/>
          </w:tcPr>
          <w:p w14:paraId="2CE3DAD3">
            <w:pPr>
              <w:autoSpaceDE w:val="0"/>
              <w:autoSpaceDN w:val="0"/>
              <w:adjustRightInd w:val="0"/>
              <w:spacing w:line="240" w:lineRule="auto"/>
              <w:jc w:val="center"/>
              <w:rPr>
                <w:rFonts w:cs="Times New Roman"/>
                <w:sz w:val="20"/>
                <w:szCs w:val="20"/>
              </w:rPr>
            </w:pPr>
            <w:r>
              <w:rPr>
                <w:rFonts w:cs="Times New Roman"/>
                <w:sz w:val="20"/>
                <w:szCs w:val="20"/>
              </w:rPr>
              <w:t>Frequency</w:t>
            </w:r>
          </w:p>
          <w:p w14:paraId="3A8875D5">
            <w:pPr>
              <w:autoSpaceDE w:val="0"/>
              <w:autoSpaceDN w:val="0"/>
              <w:adjustRightInd w:val="0"/>
              <w:spacing w:line="240" w:lineRule="auto"/>
              <w:jc w:val="center"/>
              <w:rPr>
                <w:rFonts w:cs="Times New Roman"/>
                <w:sz w:val="20"/>
                <w:szCs w:val="20"/>
              </w:rPr>
            </w:pPr>
            <w:r>
              <w:rPr>
                <w:rFonts w:cs="Times New Roman"/>
                <w:sz w:val="20"/>
                <w:szCs w:val="20"/>
              </w:rPr>
              <w:t xml:space="preserve">(GHz) </w:t>
            </w:r>
          </w:p>
        </w:tc>
        <w:tc>
          <w:tcPr>
            <w:tcW w:w="2015" w:type="pct"/>
            <w:gridSpan w:val="2"/>
            <w:vAlign w:val="center"/>
          </w:tcPr>
          <w:p w14:paraId="201D31D7">
            <w:pPr>
              <w:autoSpaceDE w:val="0"/>
              <w:autoSpaceDN w:val="0"/>
              <w:adjustRightInd w:val="0"/>
              <w:spacing w:line="240" w:lineRule="auto"/>
              <w:jc w:val="center"/>
              <w:rPr>
                <w:rFonts w:cs="Times New Roman"/>
                <w:sz w:val="20"/>
                <w:szCs w:val="20"/>
              </w:rPr>
            </w:pPr>
            <w:r>
              <w:rPr>
                <w:rFonts w:cs="Times New Roman"/>
                <w:sz w:val="20"/>
                <w:szCs w:val="20"/>
              </w:rPr>
              <w:t>LoS</w:t>
            </w:r>
          </w:p>
          <w:p w14:paraId="1B0DC732">
            <w:pPr>
              <w:autoSpaceDE w:val="0"/>
              <w:autoSpaceDN w:val="0"/>
              <w:adjustRightInd w:val="0"/>
              <w:spacing w:line="240" w:lineRule="auto"/>
              <w:jc w:val="center"/>
              <w:rPr>
                <w:rFonts w:cs="Times New Roman"/>
                <w:sz w:val="20"/>
                <w:szCs w:val="20"/>
              </w:rPr>
            </w:pPr>
            <w:r>
              <w:rPr>
                <w:rFonts w:cs="Times New Roman"/>
                <w:sz w:val="20"/>
                <w:szCs w:val="20"/>
              </w:rPr>
              <w:t>Measurements/3GPP</w:t>
            </w:r>
          </w:p>
        </w:tc>
        <w:tc>
          <w:tcPr>
            <w:tcW w:w="1951" w:type="pct"/>
            <w:gridSpan w:val="2"/>
            <w:vAlign w:val="center"/>
          </w:tcPr>
          <w:p w14:paraId="7A9F8494">
            <w:pPr>
              <w:autoSpaceDE w:val="0"/>
              <w:autoSpaceDN w:val="0"/>
              <w:adjustRightInd w:val="0"/>
              <w:spacing w:line="240" w:lineRule="auto"/>
              <w:jc w:val="center"/>
              <w:rPr>
                <w:rFonts w:cs="Times New Roman"/>
                <w:sz w:val="20"/>
                <w:szCs w:val="20"/>
              </w:rPr>
            </w:pPr>
            <w:r>
              <w:rPr>
                <w:rFonts w:cs="Times New Roman"/>
                <w:sz w:val="20"/>
                <w:szCs w:val="20"/>
              </w:rPr>
              <w:t>NLoS</w:t>
            </w:r>
          </w:p>
          <w:p w14:paraId="54AE238A">
            <w:pPr>
              <w:autoSpaceDE w:val="0"/>
              <w:autoSpaceDN w:val="0"/>
              <w:adjustRightInd w:val="0"/>
              <w:spacing w:line="240" w:lineRule="auto"/>
              <w:jc w:val="center"/>
              <w:rPr>
                <w:rFonts w:cs="Times New Roman"/>
                <w:sz w:val="20"/>
                <w:szCs w:val="20"/>
              </w:rPr>
            </w:pPr>
            <w:r>
              <w:rPr>
                <w:rFonts w:cs="Times New Roman"/>
                <w:sz w:val="20"/>
                <w:szCs w:val="20"/>
              </w:rPr>
              <w:t>Measurements/3GPP</w:t>
            </w:r>
          </w:p>
        </w:tc>
      </w:tr>
      <w:tr w14:paraId="64FDAE22">
        <w:tc>
          <w:tcPr>
            <w:tcW w:w="1034" w:type="pct"/>
            <w:vMerge w:val="continue"/>
            <w:vAlign w:val="center"/>
          </w:tcPr>
          <w:p w14:paraId="1D70004D">
            <w:pPr>
              <w:autoSpaceDE w:val="0"/>
              <w:autoSpaceDN w:val="0"/>
              <w:adjustRightInd w:val="0"/>
              <w:spacing w:line="240" w:lineRule="auto"/>
              <w:jc w:val="center"/>
              <w:rPr>
                <w:rFonts w:cs="Times New Roman"/>
                <w:sz w:val="20"/>
                <w:szCs w:val="20"/>
              </w:rPr>
            </w:pPr>
          </w:p>
        </w:tc>
        <w:tc>
          <w:tcPr>
            <w:tcW w:w="1099" w:type="pct"/>
            <w:vAlign w:val="center"/>
          </w:tcPr>
          <w:p w14:paraId="6CC839B3">
            <w:pPr>
              <w:autoSpaceDE w:val="0"/>
              <w:autoSpaceDN w:val="0"/>
              <w:adjustRightInd w:val="0"/>
              <w:spacing w:line="240" w:lineRule="auto"/>
              <w:jc w:val="center"/>
              <w:rPr>
                <w:rFonts w:cs="Times New Roman"/>
                <w:sz w:val="20"/>
                <w:szCs w:val="20"/>
              </w:rPr>
            </w:pPr>
            <m:oMath>
              <m:sSub>
                <m:sSubPr>
                  <m:ctrlPr>
                    <w:rPr>
                      <w:rFonts w:ascii="Cambria Math" w:hAnsi="Cambria Math" w:cs="Times New Roman"/>
                      <w:i/>
                      <w:sz w:val="20"/>
                      <w:szCs w:val="20"/>
                    </w:rPr>
                  </m:ctrlPr>
                </m:sSubPr>
                <m:e>
                  <m:r>
                    <m:rPr/>
                    <w:rPr>
                      <w:rFonts w:ascii="Cambria Math" w:hAnsi="Cambria Math" w:cs="Times New Roman"/>
                      <w:sz w:val="20"/>
                      <w:szCs w:val="20"/>
                    </w:rPr>
                    <m:t>µ</m:t>
                  </m:r>
                  <m:ctrlPr>
                    <w:rPr>
                      <w:rFonts w:ascii="Cambria Math" w:hAnsi="Cambria Math" w:cs="Times New Roman"/>
                      <w:i/>
                      <w:sz w:val="20"/>
                      <w:szCs w:val="20"/>
                    </w:rPr>
                  </m:ctrlPr>
                </m:e>
                <m:sub>
                  <m:r>
                    <m:rPr>
                      <m:sty m:val="p"/>
                    </m:rPr>
                    <w:rPr>
                      <w:rFonts w:ascii="Cambria Math" w:hAnsi="Cambria Math" w:cs="Times New Roman"/>
                      <w:sz w:val="20"/>
                      <w:szCs w:val="20"/>
                    </w:rPr>
                    <m:t xml:space="preserve">lg(ESA) </m:t>
                  </m:r>
                  <m:ctrlPr>
                    <w:rPr>
                      <w:rFonts w:ascii="Cambria Math" w:hAnsi="Cambria Math" w:cs="Times New Roman"/>
                      <w:i/>
                      <w:sz w:val="20"/>
                      <w:szCs w:val="20"/>
                    </w:rPr>
                  </m:ctrlPr>
                </m:sub>
              </m:sSub>
            </m:oMath>
            <w:r>
              <w:rPr>
                <w:sz w:val="20"/>
                <w:szCs w:val="20"/>
              </w:rPr>
              <w:t>(</w:t>
            </w:r>
            <w:r>
              <w:rPr>
                <w:sz w:val="20"/>
                <w:szCs w:val="20"/>
                <w:vertAlign w:val="superscript"/>
              </w:rPr>
              <w:t>o</w:t>
            </w:r>
            <w:r>
              <w:rPr>
                <w:sz w:val="20"/>
                <w:szCs w:val="20"/>
              </w:rPr>
              <w:t>)</w:t>
            </w:r>
          </w:p>
        </w:tc>
        <w:tc>
          <w:tcPr>
            <w:tcW w:w="916" w:type="pct"/>
            <w:vAlign w:val="center"/>
          </w:tcPr>
          <w:p w14:paraId="585A7CEA">
            <w:pPr>
              <w:autoSpaceDE w:val="0"/>
              <w:autoSpaceDN w:val="0"/>
              <w:adjustRightInd w:val="0"/>
              <w:spacing w:line="240" w:lineRule="auto"/>
              <w:jc w:val="center"/>
              <w:rPr>
                <w:rFonts w:cs="Times New Roman"/>
                <w:sz w:val="20"/>
                <w:szCs w:val="20"/>
              </w:rPr>
            </w:pPr>
            <m:oMath>
              <m:sSub>
                <m:sSubPr>
                  <m:ctrlPr>
                    <w:rPr>
                      <w:rFonts w:ascii="Cambria Math" w:hAnsi="Cambria Math" w:cs="Times New Roman"/>
                      <w:i/>
                      <w:sz w:val="20"/>
                      <w:szCs w:val="20"/>
                    </w:rPr>
                  </m:ctrlPr>
                </m:sSubPr>
                <m:e>
                  <m:r>
                    <m:rPr/>
                    <w:rPr>
                      <w:rFonts w:ascii="Cambria Math" w:hAnsi="Cambria Math" w:cs="Times New Roman"/>
                      <w:sz w:val="20"/>
                      <w:szCs w:val="20"/>
                    </w:rPr>
                    <m:t>σ</m:t>
                  </m:r>
                  <m:ctrlPr>
                    <w:rPr>
                      <w:rFonts w:ascii="Cambria Math" w:hAnsi="Cambria Math" w:cs="Times New Roman"/>
                      <w:i/>
                      <w:sz w:val="20"/>
                      <w:szCs w:val="20"/>
                    </w:rPr>
                  </m:ctrlPr>
                </m:e>
                <m:sub>
                  <m:r>
                    <m:rPr>
                      <m:sty m:val="p"/>
                    </m:rPr>
                    <w:rPr>
                      <w:rFonts w:ascii="Cambria Math" w:hAnsi="Cambria Math" w:cs="Times New Roman"/>
                      <w:sz w:val="20"/>
                      <w:szCs w:val="20"/>
                    </w:rPr>
                    <m:t xml:space="preserve">lg(ESA) </m:t>
                  </m:r>
                  <m:ctrlPr>
                    <w:rPr>
                      <w:rFonts w:ascii="Cambria Math" w:hAnsi="Cambria Math" w:cs="Times New Roman"/>
                      <w:i/>
                      <w:sz w:val="20"/>
                      <w:szCs w:val="20"/>
                    </w:rPr>
                  </m:ctrlPr>
                </m:sub>
              </m:sSub>
            </m:oMath>
            <w:r>
              <w:rPr>
                <w:sz w:val="20"/>
                <w:szCs w:val="20"/>
              </w:rPr>
              <w:t>(</w:t>
            </w:r>
            <w:r>
              <w:rPr>
                <w:sz w:val="20"/>
                <w:szCs w:val="20"/>
                <w:vertAlign w:val="superscript"/>
              </w:rPr>
              <w:t>o</w:t>
            </w:r>
            <w:r>
              <w:rPr>
                <w:sz w:val="20"/>
                <w:szCs w:val="20"/>
              </w:rPr>
              <w:t>)</w:t>
            </w:r>
          </w:p>
        </w:tc>
        <w:tc>
          <w:tcPr>
            <w:tcW w:w="964" w:type="pct"/>
            <w:vAlign w:val="center"/>
          </w:tcPr>
          <w:p w14:paraId="227704A3">
            <w:pPr>
              <w:autoSpaceDE w:val="0"/>
              <w:autoSpaceDN w:val="0"/>
              <w:adjustRightInd w:val="0"/>
              <w:spacing w:line="240" w:lineRule="auto"/>
              <w:jc w:val="center"/>
              <w:rPr>
                <w:rFonts w:cs="Times New Roman"/>
                <w:sz w:val="20"/>
                <w:szCs w:val="20"/>
              </w:rPr>
            </w:pPr>
            <m:oMath>
              <m:sSub>
                <m:sSubPr>
                  <m:ctrlPr>
                    <w:rPr>
                      <w:rFonts w:ascii="Cambria Math" w:hAnsi="Cambria Math" w:cs="Times New Roman"/>
                      <w:i/>
                      <w:sz w:val="20"/>
                      <w:szCs w:val="20"/>
                    </w:rPr>
                  </m:ctrlPr>
                </m:sSubPr>
                <m:e>
                  <m:r>
                    <m:rPr/>
                    <w:rPr>
                      <w:rFonts w:ascii="Cambria Math" w:hAnsi="Cambria Math" w:cs="Times New Roman"/>
                      <w:sz w:val="20"/>
                      <w:szCs w:val="20"/>
                    </w:rPr>
                    <m:t>µ</m:t>
                  </m:r>
                  <m:ctrlPr>
                    <w:rPr>
                      <w:rFonts w:ascii="Cambria Math" w:hAnsi="Cambria Math" w:cs="Times New Roman"/>
                      <w:i/>
                      <w:sz w:val="20"/>
                      <w:szCs w:val="20"/>
                    </w:rPr>
                  </m:ctrlPr>
                </m:e>
                <m:sub>
                  <m:r>
                    <m:rPr>
                      <m:sty m:val="p"/>
                    </m:rPr>
                    <w:rPr>
                      <w:rFonts w:ascii="Cambria Math" w:hAnsi="Cambria Math" w:cs="Times New Roman"/>
                      <w:sz w:val="20"/>
                      <w:szCs w:val="20"/>
                    </w:rPr>
                    <m:t>lg(ESA)</m:t>
                  </m:r>
                  <m:ctrlPr>
                    <w:rPr>
                      <w:rFonts w:ascii="Cambria Math" w:hAnsi="Cambria Math" w:cs="Times New Roman"/>
                      <w:i/>
                      <w:sz w:val="20"/>
                      <w:szCs w:val="20"/>
                    </w:rPr>
                  </m:ctrlPr>
                </m:sub>
              </m:sSub>
              <m:r>
                <m:rPr/>
                <w:rPr>
                  <w:rFonts w:ascii="Cambria Math" w:hAnsi="Cambria Math" w:cs="Times New Roman"/>
                  <w:sz w:val="20"/>
                  <w:szCs w:val="20"/>
                </w:rPr>
                <m:t xml:space="preserve"> </m:t>
              </m:r>
            </m:oMath>
            <w:r>
              <w:rPr>
                <w:sz w:val="20"/>
                <w:szCs w:val="20"/>
              </w:rPr>
              <w:t>(</w:t>
            </w:r>
            <w:r>
              <w:rPr>
                <w:sz w:val="20"/>
                <w:szCs w:val="20"/>
                <w:vertAlign w:val="superscript"/>
              </w:rPr>
              <w:t>o</w:t>
            </w:r>
            <w:r>
              <w:rPr>
                <w:sz w:val="20"/>
                <w:szCs w:val="20"/>
              </w:rPr>
              <w:t>)</w:t>
            </w:r>
          </w:p>
        </w:tc>
        <w:tc>
          <w:tcPr>
            <w:tcW w:w="987" w:type="pct"/>
            <w:vAlign w:val="center"/>
          </w:tcPr>
          <w:p w14:paraId="4AF99CB5">
            <w:pPr>
              <w:autoSpaceDE w:val="0"/>
              <w:autoSpaceDN w:val="0"/>
              <w:adjustRightInd w:val="0"/>
              <w:spacing w:line="240" w:lineRule="auto"/>
              <w:jc w:val="center"/>
              <w:rPr>
                <w:rFonts w:cs="Times New Roman"/>
                <w:sz w:val="20"/>
                <w:szCs w:val="20"/>
              </w:rPr>
            </w:pPr>
            <m:oMath>
              <m:sSub>
                <m:sSubPr>
                  <m:ctrlPr>
                    <w:rPr>
                      <w:rFonts w:ascii="Cambria Math" w:hAnsi="Cambria Math" w:cs="Times New Roman"/>
                      <w:i/>
                      <w:sz w:val="20"/>
                      <w:szCs w:val="20"/>
                    </w:rPr>
                  </m:ctrlPr>
                </m:sSubPr>
                <m:e>
                  <m:r>
                    <m:rPr/>
                    <w:rPr>
                      <w:rFonts w:ascii="Cambria Math" w:hAnsi="Cambria Math" w:cs="Times New Roman"/>
                      <w:sz w:val="20"/>
                      <w:szCs w:val="20"/>
                    </w:rPr>
                    <m:t>σ</m:t>
                  </m:r>
                  <m:ctrlPr>
                    <w:rPr>
                      <w:rFonts w:ascii="Cambria Math" w:hAnsi="Cambria Math" w:cs="Times New Roman"/>
                      <w:i/>
                      <w:sz w:val="20"/>
                      <w:szCs w:val="20"/>
                    </w:rPr>
                  </m:ctrlPr>
                </m:e>
                <m:sub>
                  <m:r>
                    <m:rPr>
                      <m:sty m:val="p"/>
                    </m:rPr>
                    <w:rPr>
                      <w:rFonts w:ascii="Cambria Math" w:hAnsi="Cambria Math" w:cs="Times New Roman"/>
                      <w:sz w:val="20"/>
                      <w:szCs w:val="20"/>
                    </w:rPr>
                    <m:t xml:space="preserve">lg(ESA) </m:t>
                  </m:r>
                  <m:ctrlPr>
                    <w:rPr>
                      <w:rFonts w:ascii="Cambria Math" w:hAnsi="Cambria Math" w:cs="Times New Roman"/>
                      <w:i/>
                      <w:sz w:val="20"/>
                      <w:szCs w:val="20"/>
                    </w:rPr>
                  </m:ctrlPr>
                </m:sub>
              </m:sSub>
            </m:oMath>
            <w:r>
              <w:rPr>
                <w:sz w:val="20"/>
                <w:szCs w:val="20"/>
              </w:rPr>
              <w:t>(</w:t>
            </w:r>
            <w:r>
              <w:rPr>
                <w:sz w:val="20"/>
                <w:szCs w:val="20"/>
                <w:vertAlign w:val="superscript"/>
              </w:rPr>
              <w:t>o</w:t>
            </w:r>
            <w:r>
              <w:rPr>
                <w:sz w:val="20"/>
                <w:szCs w:val="20"/>
              </w:rPr>
              <w:t>)</w:t>
            </w:r>
          </w:p>
        </w:tc>
      </w:tr>
      <w:tr w14:paraId="19A595E7">
        <w:tc>
          <w:tcPr>
            <w:tcW w:w="1034" w:type="pct"/>
            <w:vAlign w:val="center"/>
          </w:tcPr>
          <w:p w14:paraId="730E3B25">
            <w:pPr>
              <w:autoSpaceDE w:val="0"/>
              <w:autoSpaceDN w:val="0"/>
              <w:adjustRightInd w:val="0"/>
              <w:spacing w:line="240" w:lineRule="auto"/>
              <w:jc w:val="center"/>
              <w:rPr>
                <w:rFonts w:cs="Times New Roman"/>
                <w:sz w:val="20"/>
                <w:szCs w:val="20"/>
              </w:rPr>
            </w:pPr>
            <w:r>
              <w:rPr>
                <w:rFonts w:cs="Times New Roman"/>
                <w:sz w:val="20"/>
                <w:szCs w:val="20"/>
              </w:rPr>
              <w:t>7</w:t>
            </w:r>
          </w:p>
        </w:tc>
        <w:tc>
          <w:tcPr>
            <w:tcW w:w="1099" w:type="pct"/>
            <w:vAlign w:val="center"/>
          </w:tcPr>
          <w:p w14:paraId="03FFF0C2">
            <w:pPr>
              <w:autoSpaceDE w:val="0"/>
              <w:autoSpaceDN w:val="0"/>
              <w:adjustRightInd w:val="0"/>
              <w:spacing w:line="240" w:lineRule="auto"/>
              <w:jc w:val="center"/>
              <w:rPr>
                <w:rFonts w:cs="Times New Roman"/>
                <w:sz w:val="20"/>
                <w:szCs w:val="20"/>
              </w:rPr>
            </w:pPr>
            <w:r>
              <w:rPr>
                <w:sz w:val="20"/>
                <w:szCs w:val="20"/>
              </w:rPr>
              <w:t>1.09</w:t>
            </w:r>
            <w:r>
              <w:rPr>
                <w:rFonts w:cs="Times New Roman"/>
                <w:sz w:val="20"/>
                <w:szCs w:val="20"/>
              </w:rPr>
              <w:t>/0.64</w:t>
            </w:r>
          </w:p>
        </w:tc>
        <w:tc>
          <w:tcPr>
            <w:tcW w:w="916" w:type="pct"/>
            <w:vAlign w:val="center"/>
          </w:tcPr>
          <w:p w14:paraId="0CC3EEC3">
            <w:pPr>
              <w:autoSpaceDE w:val="0"/>
              <w:autoSpaceDN w:val="0"/>
              <w:adjustRightInd w:val="0"/>
              <w:spacing w:line="240" w:lineRule="auto"/>
              <w:jc w:val="center"/>
              <w:rPr>
                <w:rFonts w:cs="Times New Roman"/>
                <w:sz w:val="20"/>
                <w:szCs w:val="20"/>
              </w:rPr>
            </w:pPr>
            <w:r>
              <w:rPr>
                <w:sz w:val="20"/>
                <w:szCs w:val="20"/>
              </w:rPr>
              <w:t>0.06</w:t>
            </w:r>
            <w:r>
              <w:rPr>
                <w:rFonts w:cs="Times New Roman"/>
                <w:sz w:val="20"/>
                <w:szCs w:val="20"/>
              </w:rPr>
              <w:t>/0.30</w:t>
            </w:r>
          </w:p>
        </w:tc>
        <w:tc>
          <w:tcPr>
            <w:tcW w:w="964" w:type="pct"/>
            <w:vAlign w:val="center"/>
          </w:tcPr>
          <w:p w14:paraId="53AB6FBA">
            <w:pPr>
              <w:autoSpaceDE w:val="0"/>
              <w:autoSpaceDN w:val="0"/>
              <w:adjustRightInd w:val="0"/>
              <w:spacing w:line="240" w:lineRule="auto"/>
              <w:jc w:val="center"/>
              <w:rPr>
                <w:rFonts w:cs="Times New Roman"/>
                <w:sz w:val="20"/>
                <w:szCs w:val="20"/>
              </w:rPr>
            </w:pPr>
            <w:r>
              <w:rPr>
                <w:sz w:val="20"/>
                <w:szCs w:val="20"/>
              </w:rPr>
              <w:t>1.17</w:t>
            </w:r>
            <w:r>
              <w:rPr>
                <w:rFonts w:cs="Times New Roman"/>
                <w:sz w:val="20"/>
                <w:szCs w:val="20"/>
              </w:rPr>
              <w:t>/0.88</w:t>
            </w:r>
          </w:p>
        </w:tc>
        <w:tc>
          <w:tcPr>
            <w:tcW w:w="987" w:type="pct"/>
            <w:vAlign w:val="center"/>
          </w:tcPr>
          <w:p w14:paraId="72EA17F2">
            <w:pPr>
              <w:autoSpaceDE w:val="0"/>
              <w:autoSpaceDN w:val="0"/>
              <w:adjustRightInd w:val="0"/>
              <w:spacing w:line="240" w:lineRule="auto"/>
              <w:jc w:val="center"/>
              <w:rPr>
                <w:rFonts w:cs="Times New Roman"/>
                <w:sz w:val="20"/>
                <w:szCs w:val="20"/>
              </w:rPr>
            </w:pPr>
            <w:r>
              <w:rPr>
                <w:sz w:val="20"/>
                <w:szCs w:val="20"/>
              </w:rPr>
              <w:t>0.09</w:t>
            </w:r>
            <w:r>
              <w:rPr>
                <w:rFonts w:cs="Times New Roman"/>
                <w:sz w:val="20"/>
                <w:szCs w:val="20"/>
              </w:rPr>
              <w:t>/0.35</w:t>
            </w:r>
          </w:p>
        </w:tc>
      </w:tr>
      <w:tr w14:paraId="4D1E1D6E">
        <w:tc>
          <w:tcPr>
            <w:tcW w:w="1034" w:type="pct"/>
            <w:vAlign w:val="center"/>
          </w:tcPr>
          <w:p w14:paraId="0074837B">
            <w:pPr>
              <w:autoSpaceDE w:val="0"/>
              <w:autoSpaceDN w:val="0"/>
              <w:adjustRightInd w:val="0"/>
              <w:spacing w:line="240" w:lineRule="auto"/>
              <w:jc w:val="center"/>
              <w:rPr>
                <w:rFonts w:cs="Times New Roman"/>
                <w:sz w:val="20"/>
                <w:szCs w:val="20"/>
              </w:rPr>
            </w:pPr>
            <w:r>
              <w:rPr>
                <w:rFonts w:cs="Times New Roman"/>
                <w:sz w:val="20"/>
                <w:szCs w:val="20"/>
              </w:rPr>
              <w:t>10</w:t>
            </w:r>
          </w:p>
        </w:tc>
        <w:tc>
          <w:tcPr>
            <w:tcW w:w="1099" w:type="pct"/>
            <w:vAlign w:val="center"/>
          </w:tcPr>
          <w:p w14:paraId="10E4C0E1">
            <w:pPr>
              <w:autoSpaceDE w:val="0"/>
              <w:autoSpaceDN w:val="0"/>
              <w:adjustRightInd w:val="0"/>
              <w:spacing w:line="240" w:lineRule="auto"/>
              <w:jc w:val="center"/>
              <w:rPr>
                <w:rFonts w:cs="Times New Roman"/>
                <w:sz w:val="20"/>
                <w:szCs w:val="20"/>
              </w:rPr>
            </w:pPr>
            <w:r>
              <w:rPr>
                <w:sz w:val="20"/>
                <w:szCs w:val="20"/>
              </w:rPr>
              <w:t>1.08</w:t>
            </w:r>
            <w:r>
              <w:rPr>
                <w:rFonts w:cs="Times New Roman"/>
                <w:sz w:val="20"/>
                <w:szCs w:val="20"/>
              </w:rPr>
              <w:t>/0.63</w:t>
            </w:r>
          </w:p>
        </w:tc>
        <w:tc>
          <w:tcPr>
            <w:tcW w:w="916" w:type="pct"/>
            <w:vAlign w:val="center"/>
          </w:tcPr>
          <w:p w14:paraId="32C83E40">
            <w:pPr>
              <w:autoSpaceDE w:val="0"/>
              <w:autoSpaceDN w:val="0"/>
              <w:adjustRightInd w:val="0"/>
              <w:spacing w:line="240" w:lineRule="auto"/>
              <w:jc w:val="center"/>
              <w:rPr>
                <w:rFonts w:cs="Times New Roman"/>
                <w:sz w:val="20"/>
                <w:szCs w:val="20"/>
              </w:rPr>
            </w:pPr>
            <w:r>
              <w:rPr>
                <w:sz w:val="20"/>
                <w:szCs w:val="20"/>
              </w:rPr>
              <w:t>0.07</w:t>
            </w:r>
            <w:r>
              <w:rPr>
                <w:rFonts w:cs="Times New Roman"/>
                <w:sz w:val="20"/>
                <w:szCs w:val="20"/>
              </w:rPr>
              <w:t>/0.30</w:t>
            </w:r>
          </w:p>
        </w:tc>
        <w:tc>
          <w:tcPr>
            <w:tcW w:w="964" w:type="pct"/>
            <w:vAlign w:val="center"/>
          </w:tcPr>
          <w:p w14:paraId="4708D94E">
            <w:pPr>
              <w:autoSpaceDE w:val="0"/>
              <w:autoSpaceDN w:val="0"/>
              <w:adjustRightInd w:val="0"/>
              <w:spacing w:line="240" w:lineRule="auto"/>
              <w:jc w:val="center"/>
              <w:rPr>
                <w:rFonts w:cs="Times New Roman"/>
                <w:sz w:val="20"/>
                <w:szCs w:val="20"/>
              </w:rPr>
            </w:pPr>
            <w:r>
              <w:rPr>
                <w:sz w:val="20"/>
                <w:szCs w:val="20"/>
              </w:rPr>
              <w:t>1.15</w:t>
            </w:r>
            <w:r>
              <w:rPr>
                <w:rFonts w:cs="Times New Roman"/>
                <w:sz w:val="20"/>
                <w:szCs w:val="20"/>
              </w:rPr>
              <w:t>/0.88</w:t>
            </w:r>
          </w:p>
        </w:tc>
        <w:tc>
          <w:tcPr>
            <w:tcW w:w="987" w:type="pct"/>
            <w:vAlign w:val="center"/>
          </w:tcPr>
          <w:p w14:paraId="3985626F">
            <w:pPr>
              <w:autoSpaceDE w:val="0"/>
              <w:autoSpaceDN w:val="0"/>
              <w:adjustRightInd w:val="0"/>
              <w:spacing w:line="240" w:lineRule="auto"/>
              <w:jc w:val="center"/>
              <w:rPr>
                <w:rFonts w:cs="Times New Roman"/>
                <w:sz w:val="20"/>
                <w:szCs w:val="20"/>
              </w:rPr>
            </w:pPr>
            <w:r>
              <w:rPr>
                <w:sz w:val="20"/>
                <w:szCs w:val="20"/>
              </w:rPr>
              <w:t>0.07</w:t>
            </w:r>
            <w:r>
              <w:rPr>
                <w:rFonts w:cs="Times New Roman"/>
                <w:sz w:val="20"/>
                <w:szCs w:val="20"/>
              </w:rPr>
              <w:t>/0.34</w:t>
            </w:r>
          </w:p>
        </w:tc>
      </w:tr>
      <w:tr w14:paraId="44742168">
        <w:tc>
          <w:tcPr>
            <w:tcW w:w="1034" w:type="pct"/>
            <w:vAlign w:val="center"/>
          </w:tcPr>
          <w:p w14:paraId="175BEE63">
            <w:pPr>
              <w:autoSpaceDE w:val="0"/>
              <w:autoSpaceDN w:val="0"/>
              <w:adjustRightInd w:val="0"/>
              <w:spacing w:line="240" w:lineRule="auto"/>
              <w:jc w:val="center"/>
              <w:rPr>
                <w:rFonts w:cs="Times New Roman"/>
                <w:sz w:val="20"/>
                <w:szCs w:val="20"/>
              </w:rPr>
            </w:pPr>
            <w:r>
              <w:rPr>
                <w:rFonts w:cs="Times New Roman"/>
                <w:sz w:val="20"/>
                <w:szCs w:val="20"/>
              </w:rPr>
              <w:t>13</w:t>
            </w:r>
          </w:p>
        </w:tc>
        <w:tc>
          <w:tcPr>
            <w:tcW w:w="1099" w:type="pct"/>
            <w:vAlign w:val="center"/>
          </w:tcPr>
          <w:p w14:paraId="3CD5153F">
            <w:pPr>
              <w:autoSpaceDE w:val="0"/>
              <w:autoSpaceDN w:val="0"/>
              <w:adjustRightInd w:val="0"/>
              <w:spacing w:line="240" w:lineRule="auto"/>
              <w:jc w:val="center"/>
              <w:rPr>
                <w:rFonts w:cs="Times New Roman"/>
                <w:sz w:val="20"/>
                <w:szCs w:val="20"/>
              </w:rPr>
            </w:pPr>
            <w:r>
              <w:rPr>
                <w:sz w:val="20"/>
                <w:szCs w:val="20"/>
              </w:rPr>
              <w:t>1.07</w:t>
            </w:r>
            <w:r>
              <w:rPr>
                <w:rFonts w:cs="Times New Roman"/>
                <w:sz w:val="20"/>
                <w:szCs w:val="20"/>
              </w:rPr>
              <w:t>/0.62</w:t>
            </w:r>
          </w:p>
        </w:tc>
        <w:tc>
          <w:tcPr>
            <w:tcW w:w="916" w:type="pct"/>
            <w:vAlign w:val="center"/>
          </w:tcPr>
          <w:p w14:paraId="559CDE16">
            <w:pPr>
              <w:autoSpaceDE w:val="0"/>
              <w:autoSpaceDN w:val="0"/>
              <w:adjustRightInd w:val="0"/>
              <w:spacing w:line="240" w:lineRule="auto"/>
              <w:jc w:val="center"/>
              <w:rPr>
                <w:rFonts w:cs="Times New Roman"/>
                <w:sz w:val="20"/>
                <w:szCs w:val="20"/>
              </w:rPr>
            </w:pPr>
            <w:r>
              <w:rPr>
                <w:sz w:val="20"/>
                <w:szCs w:val="20"/>
              </w:rPr>
              <w:t>0.09</w:t>
            </w:r>
            <w:r>
              <w:rPr>
                <w:rFonts w:cs="Times New Roman"/>
                <w:sz w:val="20"/>
                <w:szCs w:val="20"/>
              </w:rPr>
              <w:t>/0.30</w:t>
            </w:r>
          </w:p>
        </w:tc>
        <w:tc>
          <w:tcPr>
            <w:tcW w:w="964" w:type="pct"/>
            <w:vAlign w:val="center"/>
          </w:tcPr>
          <w:p w14:paraId="7E00E7C7">
            <w:pPr>
              <w:autoSpaceDE w:val="0"/>
              <w:autoSpaceDN w:val="0"/>
              <w:adjustRightInd w:val="0"/>
              <w:spacing w:line="240" w:lineRule="auto"/>
              <w:jc w:val="center"/>
              <w:rPr>
                <w:rFonts w:cs="Times New Roman"/>
                <w:sz w:val="20"/>
                <w:szCs w:val="20"/>
              </w:rPr>
            </w:pPr>
            <w:r>
              <w:rPr>
                <w:sz w:val="20"/>
                <w:szCs w:val="20"/>
              </w:rPr>
              <w:t>1.13</w:t>
            </w:r>
            <w:r>
              <w:rPr>
                <w:rFonts w:cs="Times New Roman"/>
                <w:sz w:val="20"/>
                <w:szCs w:val="20"/>
              </w:rPr>
              <w:t>/0.87</w:t>
            </w:r>
          </w:p>
        </w:tc>
        <w:tc>
          <w:tcPr>
            <w:tcW w:w="987" w:type="pct"/>
            <w:vAlign w:val="center"/>
          </w:tcPr>
          <w:p w14:paraId="03C8ABD1">
            <w:pPr>
              <w:autoSpaceDE w:val="0"/>
              <w:autoSpaceDN w:val="0"/>
              <w:adjustRightInd w:val="0"/>
              <w:spacing w:line="240" w:lineRule="auto"/>
              <w:jc w:val="center"/>
              <w:rPr>
                <w:rFonts w:cs="Times New Roman"/>
                <w:sz w:val="20"/>
                <w:szCs w:val="20"/>
              </w:rPr>
            </w:pPr>
            <w:r>
              <w:rPr>
                <w:sz w:val="20"/>
                <w:szCs w:val="20"/>
              </w:rPr>
              <w:t>0.12</w:t>
            </w:r>
            <w:r>
              <w:rPr>
                <w:rFonts w:cs="Times New Roman"/>
                <w:sz w:val="20"/>
                <w:szCs w:val="20"/>
              </w:rPr>
              <w:t>/0.33</w:t>
            </w:r>
          </w:p>
        </w:tc>
      </w:tr>
    </w:tbl>
    <w:p w14:paraId="161FB1A6">
      <w:pPr>
        <w:rPr>
          <w:sz w:val="20"/>
          <w:szCs w:val="20"/>
        </w:rPr>
      </w:pPr>
    </w:p>
    <w:p w14:paraId="129E2411">
      <w:pPr>
        <w:rPr>
          <w:rFonts w:cs="Times New Roman"/>
          <w:b/>
          <w:bCs/>
          <w:i/>
          <w:iCs/>
          <w:sz w:val="20"/>
          <w:szCs w:val="20"/>
        </w:rPr>
      </w:pPr>
      <w:r>
        <w:rPr>
          <w:rFonts w:cs="Times New Roman"/>
          <w:b/>
          <w:bCs/>
          <w:i/>
          <w:iCs/>
          <w:sz w:val="20"/>
          <w:szCs w:val="20"/>
          <w:u w:val="single"/>
        </w:rPr>
        <w:t>Observation 3</w:t>
      </w:r>
      <w:r>
        <w:rPr>
          <w:rFonts w:hint="eastAsia" w:cs="Times New Roman"/>
          <w:b/>
          <w:bCs/>
          <w:i/>
          <w:iCs/>
          <w:sz w:val="20"/>
          <w:szCs w:val="20"/>
        </w:rPr>
        <w:t>：</w:t>
      </w:r>
      <w:r>
        <w:rPr>
          <w:rFonts w:cs="Times New Roman"/>
          <w:b/>
          <w:bCs/>
          <w:i/>
          <w:iCs/>
          <w:sz w:val="20"/>
          <w:szCs w:val="20"/>
        </w:rPr>
        <w:t xml:space="preserve"> </w:t>
      </w:r>
    </w:p>
    <w:p w14:paraId="57DA59B8">
      <w:pPr>
        <w:pStyle w:val="25"/>
        <w:numPr>
          <w:ilvl w:val="0"/>
          <w:numId w:val="5"/>
        </w:numPr>
        <w:ind w:firstLineChars="0"/>
        <w:rPr>
          <w:rFonts w:cs="Times New Roman"/>
          <w:i/>
          <w:iCs/>
          <w:sz w:val="20"/>
          <w:szCs w:val="20"/>
        </w:rPr>
      </w:pPr>
      <w:r>
        <w:rPr>
          <w:rFonts w:cs="Times New Roman"/>
          <w:i/>
          <w:iCs/>
          <w:sz w:val="20"/>
          <w:szCs w:val="20"/>
        </w:rPr>
        <w:t>In both LoS and NLoS scenarios, the mean of the ASA/ESA decreases with increasing frequency, while the variance of ASA does not show a clear frequency dependence.</w:t>
      </w:r>
    </w:p>
    <w:p w14:paraId="1C79B4D6">
      <w:pPr>
        <w:pStyle w:val="25"/>
        <w:numPr>
          <w:ilvl w:val="0"/>
          <w:numId w:val="5"/>
        </w:numPr>
        <w:ind w:firstLineChars="0"/>
        <w:rPr>
          <w:rFonts w:cs="Times New Roman"/>
          <w:i/>
          <w:iCs/>
          <w:sz w:val="20"/>
          <w:szCs w:val="20"/>
        </w:rPr>
      </w:pPr>
      <w:r>
        <w:rPr>
          <w:rFonts w:cs="Times New Roman"/>
          <w:i/>
          <w:iCs/>
          <w:sz w:val="20"/>
          <w:szCs w:val="20"/>
        </w:rPr>
        <w:t>In both LoS and NLoS scenarios, the mean and variance of the ASA according to the 3GPP model are noticeably higher than that of the measured results, while the mean of the ESA according to the 3GPP model is significantly lower than that of the measured results, and the variance is considerably higher than that of the measured results.</w:t>
      </w:r>
    </w:p>
    <w:p w14:paraId="69FFC8B3">
      <w:pPr>
        <w:rPr>
          <w:rFonts w:cs="Times New Roman"/>
          <w:b/>
          <w:bCs/>
          <w:i/>
          <w:iCs/>
          <w:sz w:val="20"/>
          <w:szCs w:val="20"/>
          <w:u w:val="single"/>
        </w:rPr>
      </w:pPr>
    </w:p>
    <w:p w14:paraId="28862595">
      <w:pPr>
        <w:rPr>
          <w:rFonts w:cs="Times New Roman"/>
          <w:i/>
          <w:iCs/>
          <w:sz w:val="20"/>
          <w:szCs w:val="20"/>
        </w:rPr>
      </w:pPr>
      <w:r>
        <w:rPr>
          <w:rFonts w:hint="eastAsia" w:cs="Times New Roman"/>
          <w:b/>
          <w:bCs/>
          <w:i/>
          <w:iCs/>
          <w:sz w:val="20"/>
          <w:szCs w:val="20"/>
          <w:u w:val="single"/>
        </w:rPr>
        <w:t xml:space="preserve">Proposal </w:t>
      </w:r>
      <w:r>
        <w:rPr>
          <w:rFonts w:cs="Times New Roman"/>
          <w:b/>
          <w:bCs/>
          <w:i/>
          <w:iCs/>
          <w:sz w:val="20"/>
          <w:szCs w:val="20"/>
          <w:u w:val="single"/>
        </w:rPr>
        <w:t>3</w:t>
      </w:r>
      <w:r>
        <w:rPr>
          <w:rFonts w:hint="eastAsia" w:cs="Times New Roman"/>
          <w:i/>
          <w:iCs/>
          <w:sz w:val="20"/>
          <w:szCs w:val="20"/>
        </w:rPr>
        <w:t xml:space="preserve">: </w:t>
      </w:r>
      <w:r>
        <w:rPr>
          <w:rFonts w:cs="Times New Roman"/>
          <w:i/>
          <w:iCs/>
          <w:sz w:val="20"/>
          <w:szCs w:val="20"/>
        </w:rPr>
        <w:t xml:space="preserve">For the Urban Micro (UMi) scenario, modification of the parameters for ASA and ESA need adjustment. The mean and variance of ASA are needed, while the mean of ESA </w:t>
      </w:r>
      <w:r>
        <w:rPr>
          <w:rFonts w:hint="eastAsia" w:cs="Times New Roman"/>
          <w:i/>
          <w:iCs/>
          <w:sz w:val="20"/>
          <w:szCs w:val="20"/>
        </w:rPr>
        <w:t>n</w:t>
      </w:r>
      <w:r>
        <w:rPr>
          <w:rFonts w:cs="Times New Roman"/>
          <w:i/>
          <w:iCs/>
          <w:sz w:val="20"/>
          <w:szCs w:val="20"/>
        </w:rPr>
        <w:t xml:space="preserve">eeds to be increased, and the variance </w:t>
      </w:r>
      <w:r>
        <w:rPr>
          <w:rFonts w:hint="eastAsia" w:cs="Times New Roman"/>
          <w:i/>
          <w:iCs/>
          <w:sz w:val="20"/>
          <w:szCs w:val="20"/>
        </w:rPr>
        <w:t>n</w:t>
      </w:r>
      <w:r>
        <w:rPr>
          <w:rFonts w:cs="Times New Roman"/>
          <w:i/>
          <w:iCs/>
          <w:sz w:val="20"/>
          <w:szCs w:val="20"/>
        </w:rPr>
        <w:t>eeds to be decreased.</w:t>
      </w:r>
    </w:p>
    <w:p w14:paraId="2012BDE8">
      <w:pPr>
        <w:rPr>
          <w:rFonts w:cs="Times New Roman"/>
        </w:rPr>
      </w:pPr>
    </w:p>
    <w:p w14:paraId="5D6F5D81">
      <w:pPr>
        <w:rPr>
          <w:rFonts w:hint="default" w:ascii="Times New Roman Regular" w:hAnsi="Times New Roman Regular" w:cs="Times New Roman Regular"/>
        </w:rPr>
      </w:pPr>
      <w:r>
        <w:rPr>
          <w:rFonts w:hint="default" w:ascii="Times New Roman Regular" w:hAnsi="Times New Roman Regular" w:cs="Times New Roman Regular"/>
        </w:rPr>
        <w:t>2.2.4 Intra-cluster spreads</w:t>
      </w:r>
    </w:p>
    <w:p w14:paraId="1462FC80">
      <w:pPr>
        <w:ind w:firstLine="200" w:firstLineChars="100"/>
        <w:rPr>
          <w:rFonts w:cs="Times New Roman"/>
          <w:sz w:val="20"/>
          <w:szCs w:val="20"/>
        </w:rPr>
      </w:pPr>
      <w:r>
        <w:rPr>
          <w:rFonts w:hint="eastAsia" w:cs="Times New Roman"/>
          <w:sz w:val="20"/>
          <w:szCs w:val="20"/>
        </w:rPr>
        <w:t>T</w:t>
      </w:r>
      <w:r>
        <w:rPr>
          <w:rFonts w:cs="Times New Roman"/>
          <w:sz w:val="20"/>
          <w:szCs w:val="20"/>
        </w:rPr>
        <w:t xml:space="preserve">he intra-cluster DS at different frequency bands is shown in </w:t>
      </w:r>
      <w:r>
        <w:rPr>
          <w:rFonts w:cs="Times New Roman"/>
          <w:sz w:val="20"/>
          <w:szCs w:val="20"/>
        </w:rPr>
        <w:fldChar w:fldCharType="begin"/>
      </w:r>
      <w:r>
        <w:rPr>
          <w:rFonts w:cs="Times New Roman"/>
          <w:sz w:val="20"/>
          <w:szCs w:val="20"/>
        </w:rPr>
        <w:instrText xml:space="preserve"> REF _Ref177652325 \h  \* MERGEFORMAT </w:instrText>
      </w:r>
      <w:r>
        <w:rPr>
          <w:rFonts w:cs="Times New Roman"/>
          <w:sz w:val="20"/>
          <w:szCs w:val="20"/>
        </w:rPr>
        <w:fldChar w:fldCharType="separate"/>
      </w:r>
      <w:r>
        <w:rPr>
          <w:sz w:val="20"/>
          <w:szCs w:val="20"/>
        </w:rPr>
        <w:t>Fig. 6</w:t>
      </w:r>
      <w:r>
        <w:rPr>
          <w:rFonts w:cs="Times New Roman"/>
          <w:sz w:val="20"/>
          <w:szCs w:val="20"/>
        </w:rPr>
        <w:fldChar w:fldCharType="end"/>
      </w:r>
      <w:r>
        <w:rPr>
          <w:rFonts w:cs="Times New Roman"/>
          <w:sz w:val="20"/>
          <w:szCs w:val="20"/>
        </w:rPr>
        <w:t xml:space="preserve">, and the intra-cluster ASA and ESA at different frequency bands are shown in </w:t>
      </w:r>
      <w:r>
        <w:rPr>
          <w:rFonts w:cs="Times New Roman"/>
          <w:sz w:val="20"/>
          <w:szCs w:val="20"/>
        </w:rPr>
        <w:fldChar w:fldCharType="begin"/>
      </w:r>
      <w:r>
        <w:rPr>
          <w:rFonts w:cs="Times New Roman"/>
          <w:sz w:val="20"/>
          <w:szCs w:val="20"/>
        </w:rPr>
        <w:instrText xml:space="preserve"> REF _Ref177652354 \h  \* MERGEFORMAT </w:instrText>
      </w:r>
      <w:r>
        <w:rPr>
          <w:rFonts w:cs="Times New Roman"/>
          <w:sz w:val="20"/>
          <w:szCs w:val="20"/>
        </w:rPr>
        <w:fldChar w:fldCharType="separate"/>
      </w:r>
      <w:r>
        <w:rPr>
          <w:sz w:val="20"/>
          <w:szCs w:val="20"/>
        </w:rPr>
        <w:t>Fig. 7</w:t>
      </w:r>
      <w:r>
        <w:rPr>
          <w:rFonts w:cs="Times New Roman"/>
          <w:sz w:val="20"/>
          <w:szCs w:val="20"/>
        </w:rPr>
        <w:fldChar w:fldCharType="end"/>
      </w:r>
      <w:r>
        <w:rPr>
          <w:rFonts w:cs="Times New Roman"/>
          <w:sz w:val="20"/>
          <w:szCs w:val="20"/>
        </w:rPr>
        <w:t xml:space="preserve">. A detailed comparison of the parameters with 3GPP is provided in </w:t>
      </w:r>
      <w:r>
        <w:rPr>
          <w:rFonts w:cs="Times New Roman"/>
          <w:sz w:val="20"/>
          <w:szCs w:val="20"/>
        </w:rPr>
        <w:fldChar w:fldCharType="begin"/>
      </w:r>
      <w:r>
        <w:rPr>
          <w:rFonts w:cs="Times New Roman"/>
          <w:sz w:val="20"/>
          <w:szCs w:val="20"/>
        </w:rPr>
        <w:instrText xml:space="preserve"> REF _Ref177653513 \h  \* MERGEFORMAT </w:instrText>
      </w:r>
      <w:r>
        <w:rPr>
          <w:rFonts w:cs="Times New Roman"/>
          <w:sz w:val="20"/>
          <w:szCs w:val="20"/>
        </w:rPr>
        <w:fldChar w:fldCharType="separate"/>
      </w:r>
      <w:r>
        <w:rPr>
          <w:sz w:val="20"/>
          <w:szCs w:val="20"/>
        </w:rPr>
        <w:t>Table 5</w:t>
      </w:r>
      <w:r>
        <w:rPr>
          <w:rFonts w:cs="Times New Roman"/>
          <w:sz w:val="20"/>
          <w:szCs w:val="20"/>
        </w:rPr>
        <w:fldChar w:fldCharType="end"/>
      </w:r>
      <w:r>
        <w:rPr>
          <w:rFonts w:cs="Times New Roman"/>
          <w:sz w:val="20"/>
          <w:szCs w:val="20"/>
        </w:rPr>
        <w:t>. It can be observed that the mean values of the intra-cluster DS and angle spread are very close across different frequency bands, although there is still a trend of decreasing with increasing frequency.</w:t>
      </w:r>
    </w:p>
    <w:p w14:paraId="182608E4">
      <w:pPr>
        <w:keepNext/>
        <w:jc w:val="center"/>
        <w:rPr>
          <w:sz w:val="20"/>
          <w:szCs w:val="20"/>
        </w:rPr>
      </w:pPr>
      <w:r>
        <w:rPr>
          <w:rFonts w:cs="Times New Roman"/>
          <w:sz w:val="20"/>
          <w:szCs w:val="20"/>
        </w:rPr>
        <w:drawing>
          <wp:inline distT="0" distB="0" distL="0" distR="0">
            <wp:extent cx="2627630" cy="2124710"/>
            <wp:effectExtent l="0" t="0" r="127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628000" cy="2125271"/>
                    </a:xfrm>
                    <a:prstGeom prst="rect">
                      <a:avLst/>
                    </a:prstGeom>
                    <a:noFill/>
                    <a:ln>
                      <a:noFill/>
                    </a:ln>
                  </pic:spPr>
                </pic:pic>
              </a:graphicData>
            </a:graphic>
          </wp:inline>
        </w:drawing>
      </w:r>
    </w:p>
    <w:p w14:paraId="114C2F7B">
      <w:pPr>
        <w:pStyle w:val="5"/>
        <w:jc w:val="center"/>
      </w:pPr>
      <w:bookmarkStart w:id="12" w:name="_Ref177652325"/>
      <w:r>
        <w:t xml:space="preserve">Fig. </w:t>
      </w:r>
      <w:r>
        <w:fldChar w:fldCharType="begin"/>
      </w:r>
      <w:r>
        <w:instrText xml:space="preserve"> SEQ Fig. \* ARABIC </w:instrText>
      </w:r>
      <w:r>
        <w:fldChar w:fldCharType="separate"/>
      </w:r>
      <w:r>
        <w:t>6</w:t>
      </w:r>
      <w:r>
        <w:fldChar w:fldCharType="end"/>
      </w:r>
      <w:bookmarkEnd w:id="12"/>
      <w:r>
        <w:t>. Intra-cluster DS at different frequency bands.</w:t>
      </w:r>
    </w:p>
    <w:p w14:paraId="3603A30F">
      <w:pPr>
        <w:jc w:val="center"/>
        <w:rPr>
          <w:rFonts w:cs="Times New Roman"/>
          <w:b/>
          <w:bCs/>
          <w:i/>
          <w:iCs/>
          <w:sz w:val="20"/>
          <w:szCs w:val="20"/>
          <w:u w:val="single"/>
        </w:rPr>
      </w:pPr>
    </w:p>
    <w:p w14:paraId="347D7DC9">
      <w:pPr>
        <w:jc w:val="center"/>
        <w:rPr>
          <w:rFonts w:cs="Times New Roman"/>
          <w:sz w:val="20"/>
          <w:szCs w:val="20"/>
        </w:rPr>
      </w:pPr>
      <w:r>
        <w:rPr>
          <w:rFonts w:cs="Times New Roman"/>
          <w:sz w:val="20"/>
          <w:szCs w:val="20"/>
        </w:rPr>
        <w:drawing>
          <wp:inline distT="0" distB="0" distL="0" distR="0">
            <wp:extent cx="2627630" cy="2129790"/>
            <wp:effectExtent l="0" t="0" r="1270"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r>
        <w:rPr>
          <w:rFonts w:cs="Times New Roman"/>
          <w:sz w:val="20"/>
          <w:szCs w:val="20"/>
        </w:rPr>
        <w:drawing>
          <wp:inline distT="0" distB="0" distL="0" distR="0">
            <wp:extent cx="2627630" cy="2129790"/>
            <wp:effectExtent l="0" t="0" r="1270"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p>
    <w:p w14:paraId="6651102A">
      <w:pPr>
        <w:keepNext/>
        <w:jc w:val="center"/>
        <w:rPr>
          <w:rFonts w:cs="Times New Roman"/>
          <w:b/>
          <w:bCs/>
          <w:i/>
          <w:iCs/>
          <w:sz w:val="20"/>
          <w:szCs w:val="20"/>
          <w:u w:val="single"/>
        </w:rPr>
      </w:pPr>
      <w:r>
        <w:rPr>
          <w:rFonts w:hint="eastAsia" w:cs="Times New Roman"/>
          <w:sz w:val="20"/>
          <w:szCs w:val="20"/>
        </w:rPr>
        <w:t>(</w:t>
      </w:r>
      <w:r>
        <w:rPr>
          <w:rFonts w:cs="Times New Roman"/>
          <w:sz w:val="20"/>
          <w:szCs w:val="20"/>
        </w:rPr>
        <w:t>a)                                    (b)</w:t>
      </w:r>
    </w:p>
    <w:p w14:paraId="7DCAC0BD">
      <w:pPr>
        <w:pStyle w:val="5"/>
        <w:jc w:val="center"/>
      </w:pPr>
      <w:bookmarkStart w:id="13" w:name="_Ref177652354"/>
      <w:r>
        <w:t xml:space="preserve">Fig. </w:t>
      </w:r>
      <w:r>
        <w:fldChar w:fldCharType="begin"/>
      </w:r>
      <w:r>
        <w:instrText xml:space="preserve"> SEQ Fig. \* ARABIC </w:instrText>
      </w:r>
      <w:r>
        <w:fldChar w:fldCharType="separate"/>
      </w:r>
      <w:r>
        <w:t>7</w:t>
      </w:r>
      <w:r>
        <w:fldChar w:fldCharType="end"/>
      </w:r>
      <w:bookmarkEnd w:id="13"/>
      <w:r>
        <w:t>. Intra-cluster angular spreads at different frequency bands, (a) ASA and (b) ESA.</w:t>
      </w:r>
    </w:p>
    <w:p w14:paraId="7A1D2A1D">
      <w:pPr>
        <w:rPr>
          <w:sz w:val="20"/>
          <w:szCs w:val="20"/>
        </w:rPr>
      </w:pPr>
    </w:p>
    <w:p w14:paraId="27BAE33F">
      <w:pPr>
        <w:pStyle w:val="5"/>
        <w:keepNext/>
        <w:jc w:val="center"/>
      </w:pPr>
      <w:bookmarkStart w:id="14" w:name="_Ref177653513"/>
      <w:r>
        <w:t xml:space="preserve">Table </w:t>
      </w:r>
      <w:r>
        <w:fldChar w:fldCharType="begin"/>
      </w:r>
      <w:r>
        <w:instrText xml:space="preserve"> SEQ Table \* ARABIC </w:instrText>
      </w:r>
      <w:r>
        <w:fldChar w:fldCharType="separate"/>
      </w:r>
      <w:r>
        <w:t>5</w:t>
      </w:r>
      <w:r>
        <w:fldChar w:fldCharType="end"/>
      </w:r>
      <w:bookmarkEnd w:id="14"/>
      <w:r>
        <w:t>. Intra-cluster spreads at different frequency bands [1].</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340"/>
        <w:gridCol w:w="2340"/>
        <w:gridCol w:w="2340"/>
      </w:tblGrid>
      <w:tr w14:paraId="6FA1A9F5">
        <w:trPr>
          <w:jc w:val="center"/>
        </w:trPr>
        <w:tc>
          <w:tcPr>
            <w:tcW w:w="1276" w:type="dxa"/>
            <w:vMerge w:val="restart"/>
            <w:tcBorders>
              <w:top w:val="single" w:color="auto" w:sz="4" w:space="0"/>
              <w:left w:val="single" w:color="auto" w:sz="4" w:space="0"/>
              <w:bottom w:val="single" w:color="auto" w:sz="4" w:space="0"/>
              <w:right w:val="single" w:color="auto" w:sz="4" w:space="0"/>
            </w:tcBorders>
            <w:vAlign w:val="center"/>
          </w:tcPr>
          <w:p w14:paraId="731F442E">
            <w:pPr>
              <w:autoSpaceDE w:val="0"/>
              <w:autoSpaceDN w:val="0"/>
              <w:adjustRightInd w:val="0"/>
              <w:spacing w:line="240" w:lineRule="auto"/>
              <w:jc w:val="center"/>
              <w:rPr>
                <w:sz w:val="20"/>
                <w:szCs w:val="20"/>
              </w:rPr>
            </w:pPr>
            <w:r>
              <w:rPr>
                <w:sz w:val="20"/>
                <w:szCs w:val="20"/>
              </w:rPr>
              <w:t>Frequency</w:t>
            </w:r>
          </w:p>
          <w:p w14:paraId="791EB85E">
            <w:pPr>
              <w:autoSpaceDE w:val="0"/>
              <w:autoSpaceDN w:val="0"/>
              <w:adjustRightInd w:val="0"/>
              <w:spacing w:line="240" w:lineRule="auto"/>
              <w:jc w:val="center"/>
              <w:rPr>
                <w:sz w:val="20"/>
                <w:szCs w:val="20"/>
              </w:rPr>
            </w:pPr>
            <w:r>
              <w:rPr>
                <w:sz w:val="20"/>
                <w:szCs w:val="20"/>
              </w:rPr>
              <w:t>(GHz)</w:t>
            </w:r>
          </w:p>
        </w:tc>
        <w:tc>
          <w:tcPr>
            <w:tcW w:w="2340" w:type="dxa"/>
            <w:tcBorders>
              <w:top w:val="single" w:color="auto" w:sz="4" w:space="0"/>
              <w:left w:val="single" w:color="auto" w:sz="4" w:space="0"/>
              <w:bottom w:val="single" w:color="auto" w:sz="4" w:space="0"/>
              <w:right w:val="single" w:color="auto" w:sz="4" w:space="0"/>
            </w:tcBorders>
            <w:vAlign w:val="center"/>
          </w:tcPr>
          <w:p w14:paraId="38FBEA39">
            <w:pPr>
              <w:autoSpaceDE w:val="0"/>
              <w:autoSpaceDN w:val="0"/>
              <w:adjustRightInd w:val="0"/>
              <w:spacing w:line="240" w:lineRule="auto"/>
              <w:jc w:val="center"/>
              <w:rPr>
                <w:sz w:val="20"/>
                <w:szCs w:val="20"/>
              </w:rPr>
            </w:pPr>
            <w:r>
              <w:rPr>
                <w:sz w:val="20"/>
                <w:szCs w:val="20"/>
              </w:rPr>
              <w:t>Intra-cluster DS</w:t>
            </w:r>
          </w:p>
          <w:p w14:paraId="2A93E97B">
            <w:pPr>
              <w:autoSpaceDE w:val="0"/>
              <w:autoSpaceDN w:val="0"/>
              <w:adjustRightInd w:val="0"/>
              <w:spacing w:line="240" w:lineRule="auto"/>
              <w:jc w:val="center"/>
              <w:rPr>
                <w:sz w:val="20"/>
                <w:szCs w:val="20"/>
              </w:rPr>
            </w:pPr>
            <w:r>
              <w:rPr>
                <w:sz w:val="20"/>
                <w:szCs w:val="20"/>
              </w:rPr>
              <w:t>Measurement/3GPP</w:t>
            </w:r>
          </w:p>
        </w:tc>
        <w:tc>
          <w:tcPr>
            <w:tcW w:w="2340" w:type="dxa"/>
            <w:tcBorders>
              <w:top w:val="single" w:color="auto" w:sz="4" w:space="0"/>
              <w:left w:val="single" w:color="auto" w:sz="4" w:space="0"/>
              <w:bottom w:val="single" w:color="auto" w:sz="4" w:space="0"/>
              <w:right w:val="single" w:color="auto" w:sz="4" w:space="0"/>
            </w:tcBorders>
            <w:vAlign w:val="center"/>
          </w:tcPr>
          <w:p w14:paraId="1699938C">
            <w:pPr>
              <w:autoSpaceDE w:val="0"/>
              <w:autoSpaceDN w:val="0"/>
              <w:adjustRightInd w:val="0"/>
              <w:spacing w:line="240" w:lineRule="auto"/>
              <w:jc w:val="center"/>
              <w:rPr>
                <w:sz w:val="20"/>
                <w:szCs w:val="20"/>
              </w:rPr>
            </w:pPr>
            <w:r>
              <w:rPr>
                <w:sz w:val="20"/>
                <w:szCs w:val="20"/>
              </w:rPr>
              <w:t>Intra-cluster ASA</w:t>
            </w:r>
          </w:p>
          <w:p w14:paraId="0770ECED">
            <w:pPr>
              <w:autoSpaceDE w:val="0"/>
              <w:autoSpaceDN w:val="0"/>
              <w:adjustRightInd w:val="0"/>
              <w:spacing w:line="240" w:lineRule="auto"/>
              <w:jc w:val="center"/>
              <w:rPr>
                <w:sz w:val="20"/>
                <w:szCs w:val="20"/>
              </w:rPr>
            </w:pPr>
            <w:r>
              <w:rPr>
                <w:sz w:val="20"/>
                <w:szCs w:val="20"/>
              </w:rPr>
              <w:t>Measurement/3GPP</w:t>
            </w:r>
          </w:p>
        </w:tc>
        <w:tc>
          <w:tcPr>
            <w:tcW w:w="2340" w:type="dxa"/>
            <w:tcBorders>
              <w:top w:val="single" w:color="auto" w:sz="4" w:space="0"/>
              <w:left w:val="single" w:color="auto" w:sz="4" w:space="0"/>
              <w:bottom w:val="single" w:color="auto" w:sz="4" w:space="0"/>
              <w:right w:val="single" w:color="auto" w:sz="4" w:space="0"/>
            </w:tcBorders>
            <w:vAlign w:val="center"/>
          </w:tcPr>
          <w:p w14:paraId="04F96D1C">
            <w:pPr>
              <w:autoSpaceDE w:val="0"/>
              <w:autoSpaceDN w:val="0"/>
              <w:adjustRightInd w:val="0"/>
              <w:spacing w:line="240" w:lineRule="auto"/>
              <w:jc w:val="center"/>
              <w:rPr>
                <w:sz w:val="20"/>
                <w:szCs w:val="20"/>
              </w:rPr>
            </w:pPr>
            <w:r>
              <w:rPr>
                <w:sz w:val="20"/>
                <w:szCs w:val="20"/>
              </w:rPr>
              <w:t>Intra-cluster ESA</w:t>
            </w:r>
          </w:p>
          <w:p w14:paraId="123E0064">
            <w:pPr>
              <w:autoSpaceDE w:val="0"/>
              <w:autoSpaceDN w:val="0"/>
              <w:adjustRightInd w:val="0"/>
              <w:spacing w:line="240" w:lineRule="auto"/>
              <w:jc w:val="center"/>
              <w:rPr>
                <w:sz w:val="20"/>
                <w:szCs w:val="20"/>
              </w:rPr>
            </w:pPr>
            <w:r>
              <w:rPr>
                <w:sz w:val="20"/>
                <w:szCs w:val="20"/>
              </w:rPr>
              <w:t>Measurement/3GPP</w:t>
            </w:r>
          </w:p>
        </w:tc>
      </w:tr>
      <w:tr w14:paraId="1D2EA345">
        <w:trPr>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28020D99">
            <w:pPr>
              <w:autoSpaceDE w:val="0"/>
              <w:autoSpaceDN w:val="0"/>
              <w:adjustRightInd w:val="0"/>
              <w:spacing w:line="240" w:lineRule="auto"/>
              <w:jc w:val="left"/>
              <w:rPr>
                <w:rFonts w:eastAsia="宋体" w:cs="Times New Roman"/>
                <w:iCs/>
                <w:sz w:val="20"/>
                <w:szCs w:val="20"/>
              </w:rPr>
            </w:pPr>
          </w:p>
        </w:tc>
        <w:tc>
          <w:tcPr>
            <w:tcW w:w="2340" w:type="dxa"/>
            <w:tcBorders>
              <w:top w:val="single" w:color="auto" w:sz="4" w:space="0"/>
              <w:left w:val="single" w:color="auto" w:sz="4" w:space="0"/>
              <w:bottom w:val="single" w:color="auto" w:sz="4" w:space="0"/>
              <w:right w:val="single" w:color="auto" w:sz="4" w:space="0"/>
            </w:tcBorders>
            <w:vAlign w:val="center"/>
          </w:tcPr>
          <w:p w14:paraId="63382ACE">
            <w:pPr>
              <w:autoSpaceDE w:val="0"/>
              <w:autoSpaceDN w:val="0"/>
              <w:adjustRightInd w:val="0"/>
              <w:spacing w:line="240" w:lineRule="auto"/>
              <w:jc w:val="center"/>
              <w:rPr>
                <w:sz w:val="20"/>
                <w:szCs w:val="20"/>
              </w:rPr>
            </w:pPr>
            <m:oMath>
              <m:sSub>
                <m:sSubPr>
                  <m:ctrlPr>
                    <w:rPr>
                      <w:rFonts w:ascii="Cambria Math" w:hAnsi="Cambria Math"/>
                      <w:i/>
                      <w:sz w:val="20"/>
                      <w:szCs w:val="20"/>
                    </w:rPr>
                  </m:ctrlPr>
                </m:sSubPr>
                <m:e>
                  <m:r>
                    <m:rPr/>
                    <w:rPr>
                      <w:rFonts w:ascii="Cambria Math" w:hAnsi="Cambria Math"/>
                      <w:sz w:val="20"/>
                      <w:szCs w:val="20"/>
                    </w:rPr>
                    <m:t>µ</m:t>
                  </m:r>
                  <m:ctrlPr>
                    <w:rPr>
                      <w:rFonts w:ascii="Cambria Math" w:hAnsi="Cambria Math"/>
                      <w:i/>
                      <w:sz w:val="20"/>
                      <w:szCs w:val="20"/>
                    </w:rPr>
                  </m:ctrlPr>
                </m:e>
                <m:sub>
                  <m:sSub>
                    <m:sSubPr>
                      <m:ctrlPr>
                        <w:rPr>
                          <w:rFonts w:ascii="Cambria Math" w:hAnsi="Cambria Math"/>
                          <w:i/>
                          <w:sz w:val="20"/>
                          <w:szCs w:val="20"/>
                        </w:rPr>
                      </m:ctrlPr>
                    </m:sSubPr>
                    <m:e>
                      <m:r>
                        <m:rPr/>
                        <w:rPr>
                          <w:rFonts w:ascii="Cambria Math" w:hAnsi="Cambria Math"/>
                          <w:sz w:val="20"/>
                          <w:szCs w:val="20"/>
                        </w:rPr>
                        <m:t>C</m:t>
                      </m:r>
                      <m:ctrlPr>
                        <w:rPr>
                          <w:rFonts w:ascii="Cambria Math" w:hAnsi="Cambria Math"/>
                          <w:i/>
                          <w:sz w:val="20"/>
                          <w:szCs w:val="20"/>
                        </w:rPr>
                      </m:ctrlPr>
                    </m:e>
                    <m:sub>
                      <m:r>
                        <m:rPr/>
                        <w:rPr>
                          <w:rFonts w:ascii="Cambria Math" w:hAnsi="Cambria Math"/>
                          <w:sz w:val="20"/>
                          <w:szCs w:val="20"/>
                        </w:rPr>
                        <m:t>DS</m:t>
                      </m:r>
                      <m:ctrlPr>
                        <w:rPr>
                          <w:rFonts w:ascii="Cambria Math" w:hAnsi="Cambria Math"/>
                          <w:i/>
                          <w:sz w:val="20"/>
                          <w:szCs w:val="20"/>
                        </w:rPr>
                      </m:ctrlPr>
                    </m:sub>
                  </m:sSub>
                  <m:ctrlPr>
                    <w:rPr>
                      <w:rFonts w:ascii="Cambria Math" w:hAnsi="Cambria Math"/>
                      <w:i/>
                      <w:sz w:val="20"/>
                      <w:szCs w:val="20"/>
                    </w:rPr>
                  </m:ctrlPr>
                </m:sub>
              </m:sSub>
              <m:r>
                <m:rPr/>
                <w:rPr>
                  <w:rFonts w:ascii="Cambria Math" w:hAnsi="Cambria Math"/>
                  <w:sz w:val="20"/>
                  <w:szCs w:val="20"/>
                </w:rPr>
                <m:t xml:space="preserve"> </m:t>
              </m:r>
            </m:oMath>
            <w:r>
              <w:rPr>
                <w:sz w:val="20"/>
                <w:szCs w:val="20"/>
              </w:rPr>
              <w:t>(ns)</w:t>
            </w:r>
          </w:p>
        </w:tc>
        <w:tc>
          <w:tcPr>
            <w:tcW w:w="2340" w:type="dxa"/>
            <w:tcBorders>
              <w:top w:val="single" w:color="auto" w:sz="4" w:space="0"/>
              <w:left w:val="single" w:color="auto" w:sz="4" w:space="0"/>
              <w:bottom w:val="single" w:color="auto" w:sz="4" w:space="0"/>
              <w:right w:val="single" w:color="auto" w:sz="4" w:space="0"/>
            </w:tcBorders>
            <w:vAlign w:val="center"/>
          </w:tcPr>
          <w:p w14:paraId="30085BC1">
            <w:pPr>
              <w:autoSpaceDE w:val="0"/>
              <w:autoSpaceDN w:val="0"/>
              <w:adjustRightInd w:val="0"/>
              <w:spacing w:line="240" w:lineRule="auto"/>
              <w:jc w:val="center"/>
              <w:rPr>
                <w:sz w:val="20"/>
                <w:szCs w:val="20"/>
              </w:rPr>
            </w:pPr>
            <m:oMath>
              <m:sSub>
                <m:sSubPr>
                  <m:ctrlPr>
                    <w:rPr>
                      <w:rFonts w:ascii="Cambria Math" w:hAnsi="Cambria Math"/>
                      <w:i/>
                      <w:sz w:val="20"/>
                      <w:szCs w:val="20"/>
                    </w:rPr>
                  </m:ctrlPr>
                </m:sSubPr>
                <m:e>
                  <m:r>
                    <m:rPr/>
                    <w:rPr>
                      <w:rFonts w:ascii="Cambria Math" w:hAnsi="Cambria Math"/>
                      <w:sz w:val="20"/>
                      <w:szCs w:val="20"/>
                    </w:rPr>
                    <m:t>µ</m:t>
                  </m:r>
                  <m:ctrlPr>
                    <w:rPr>
                      <w:rFonts w:ascii="Cambria Math" w:hAnsi="Cambria Math"/>
                      <w:i/>
                      <w:sz w:val="20"/>
                      <w:szCs w:val="20"/>
                    </w:rPr>
                  </m:ctrlPr>
                </m:e>
                <m:sub>
                  <m:sSub>
                    <m:sSubPr>
                      <m:ctrlPr>
                        <w:rPr>
                          <w:rFonts w:ascii="Cambria Math" w:hAnsi="Cambria Math"/>
                          <w:i/>
                          <w:sz w:val="20"/>
                          <w:szCs w:val="20"/>
                        </w:rPr>
                      </m:ctrlPr>
                    </m:sSubPr>
                    <m:e>
                      <m:r>
                        <m:rPr/>
                        <w:rPr>
                          <w:rFonts w:ascii="Cambria Math" w:hAnsi="Cambria Math"/>
                          <w:sz w:val="20"/>
                          <w:szCs w:val="20"/>
                        </w:rPr>
                        <m:t>C</m:t>
                      </m:r>
                      <m:ctrlPr>
                        <w:rPr>
                          <w:rFonts w:ascii="Cambria Math" w:hAnsi="Cambria Math"/>
                          <w:i/>
                          <w:sz w:val="20"/>
                          <w:szCs w:val="20"/>
                        </w:rPr>
                      </m:ctrlPr>
                    </m:e>
                    <m:sub>
                      <m:r>
                        <m:rPr/>
                        <w:rPr>
                          <w:rFonts w:ascii="Cambria Math" w:hAnsi="Cambria Math"/>
                          <w:sz w:val="20"/>
                          <w:szCs w:val="20"/>
                        </w:rPr>
                        <m:t>ASA</m:t>
                      </m:r>
                      <m:ctrlPr>
                        <w:rPr>
                          <w:rFonts w:ascii="Cambria Math" w:hAnsi="Cambria Math"/>
                          <w:i/>
                          <w:sz w:val="20"/>
                          <w:szCs w:val="20"/>
                        </w:rPr>
                      </m:ctrlPr>
                    </m:sub>
                  </m:sSub>
                  <m:ctrlPr>
                    <w:rPr>
                      <w:rFonts w:ascii="Cambria Math" w:hAnsi="Cambria Math"/>
                      <w:i/>
                      <w:sz w:val="20"/>
                      <w:szCs w:val="20"/>
                    </w:rPr>
                  </m:ctrlPr>
                </m:sub>
              </m:sSub>
              <m:r>
                <m:rPr/>
                <w:rPr>
                  <w:rFonts w:ascii="Cambria Math" w:hAnsi="Cambria Math"/>
                  <w:sz w:val="20"/>
                  <w:szCs w:val="20"/>
                </w:rPr>
                <m:t xml:space="preserve"> </m:t>
              </m:r>
            </m:oMath>
            <w:r>
              <w:rPr>
                <w:sz w:val="20"/>
                <w:szCs w:val="20"/>
              </w:rPr>
              <w:t>(</w:t>
            </w:r>
            <w:r>
              <w:rPr>
                <w:sz w:val="20"/>
                <w:szCs w:val="20"/>
                <w:vertAlign w:val="superscript"/>
              </w:rPr>
              <w:t>o</w:t>
            </w:r>
            <w:r>
              <w:rPr>
                <w:sz w:val="20"/>
                <w:szCs w:val="20"/>
              </w:rPr>
              <w:t>)</w:t>
            </w:r>
          </w:p>
        </w:tc>
        <w:tc>
          <w:tcPr>
            <w:tcW w:w="2340" w:type="dxa"/>
            <w:tcBorders>
              <w:top w:val="single" w:color="auto" w:sz="4" w:space="0"/>
              <w:left w:val="single" w:color="auto" w:sz="4" w:space="0"/>
              <w:bottom w:val="single" w:color="auto" w:sz="4" w:space="0"/>
              <w:right w:val="single" w:color="auto" w:sz="4" w:space="0"/>
            </w:tcBorders>
            <w:vAlign w:val="center"/>
          </w:tcPr>
          <w:p w14:paraId="744BDB72">
            <w:pPr>
              <w:autoSpaceDE w:val="0"/>
              <w:autoSpaceDN w:val="0"/>
              <w:adjustRightInd w:val="0"/>
              <w:spacing w:line="240" w:lineRule="auto"/>
              <w:jc w:val="center"/>
              <w:rPr>
                <w:sz w:val="20"/>
                <w:szCs w:val="20"/>
              </w:rPr>
            </w:pPr>
            <m:oMath>
              <m:sSub>
                <m:sSubPr>
                  <m:ctrlPr>
                    <w:rPr>
                      <w:rFonts w:ascii="Cambria Math" w:hAnsi="Cambria Math"/>
                      <w:i/>
                      <w:sz w:val="20"/>
                      <w:szCs w:val="20"/>
                    </w:rPr>
                  </m:ctrlPr>
                </m:sSubPr>
                <m:e>
                  <m:r>
                    <m:rPr/>
                    <w:rPr>
                      <w:rFonts w:ascii="Cambria Math" w:hAnsi="Cambria Math"/>
                      <w:sz w:val="20"/>
                      <w:szCs w:val="20"/>
                    </w:rPr>
                    <m:t>µ</m:t>
                  </m:r>
                  <m:ctrlPr>
                    <w:rPr>
                      <w:rFonts w:ascii="Cambria Math" w:hAnsi="Cambria Math"/>
                      <w:i/>
                      <w:sz w:val="20"/>
                      <w:szCs w:val="20"/>
                    </w:rPr>
                  </m:ctrlPr>
                </m:e>
                <m:sub>
                  <m:sSub>
                    <m:sSubPr>
                      <m:ctrlPr>
                        <w:rPr>
                          <w:rFonts w:ascii="Cambria Math" w:hAnsi="Cambria Math"/>
                          <w:i/>
                          <w:sz w:val="20"/>
                          <w:szCs w:val="20"/>
                        </w:rPr>
                      </m:ctrlPr>
                    </m:sSubPr>
                    <m:e>
                      <m:r>
                        <m:rPr/>
                        <w:rPr>
                          <w:rFonts w:ascii="Cambria Math" w:hAnsi="Cambria Math"/>
                          <w:sz w:val="20"/>
                          <w:szCs w:val="20"/>
                        </w:rPr>
                        <m:t>C</m:t>
                      </m:r>
                      <m:ctrlPr>
                        <w:rPr>
                          <w:rFonts w:ascii="Cambria Math" w:hAnsi="Cambria Math"/>
                          <w:i/>
                          <w:sz w:val="20"/>
                          <w:szCs w:val="20"/>
                        </w:rPr>
                      </m:ctrlPr>
                    </m:e>
                    <m:sub>
                      <m:r>
                        <m:rPr/>
                        <w:rPr>
                          <w:rFonts w:ascii="Cambria Math" w:hAnsi="Cambria Math"/>
                          <w:sz w:val="20"/>
                          <w:szCs w:val="20"/>
                        </w:rPr>
                        <m:t>ESA</m:t>
                      </m:r>
                      <m:ctrlPr>
                        <w:rPr>
                          <w:rFonts w:ascii="Cambria Math" w:hAnsi="Cambria Math"/>
                          <w:i/>
                          <w:sz w:val="20"/>
                          <w:szCs w:val="20"/>
                        </w:rPr>
                      </m:ctrlPr>
                    </m:sub>
                  </m:sSub>
                  <m:ctrlPr>
                    <w:rPr>
                      <w:rFonts w:ascii="Cambria Math" w:hAnsi="Cambria Math"/>
                      <w:i/>
                      <w:sz w:val="20"/>
                      <w:szCs w:val="20"/>
                    </w:rPr>
                  </m:ctrlPr>
                </m:sub>
              </m:sSub>
              <m:r>
                <m:rPr/>
                <w:rPr>
                  <w:rFonts w:ascii="Cambria Math" w:hAnsi="Cambria Math"/>
                  <w:sz w:val="20"/>
                  <w:szCs w:val="20"/>
                </w:rPr>
                <m:t xml:space="preserve"> </m:t>
              </m:r>
            </m:oMath>
            <w:r>
              <w:rPr>
                <w:sz w:val="20"/>
                <w:szCs w:val="20"/>
              </w:rPr>
              <w:t>(</w:t>
            </w:r>
            <w:r>
              <w:rPr>
                <w:sz w:val="20"/>
                <w:szCs w:val="20"/>
                <w:vertAlign w:val="superscript"/>
              </w:rPr>
              <w:t>o</w:t>
            </w:r>
            <w:r>
              <w:rPr>
                <w:sz w:val="20"/>
                <w:szCs w:val="20"/>
              </w:rPr>
              <w:t>)</w:t>
            </w:r>
          </w:p>
        </w:tc>
      </w:tr>
      <w:tr w14:paraId="03018A40">
        <w:trPr>
          <w:jc w:val="center"/>
        </w:trPr>
        <w:tc>
          <w:tcPr>
            <w:tcW w:w="1276" w:type="dxa"/>
            <w:tcBorders>
              <w:top w:val="single" w:color="auto" w:sz="4" w:space="0"/>
              <w:left w:val="single" w:color="auto" w:sz="4" w:space="0"/>
              <w:bottom w:val="single" w:color="auto" w:sz="4" w:space="0"/>
              <w:right w:val="single" w:color="auto" w:sz="4" w:space="0"/>
            </w:tcBorders>
            <w:vAlign w:val="center"/>
          </w:tcPr>
          <w:p w14:paraId="213A557A">
            <w:pPr>
              <w:autoSpaceDE w:val="0"/>
              <w:autoSpaceDN w:val="0"/>
              <w:adjustRightInd w:val="0"/>
              <w:spacing w:line="240" w:lineRule="auto"/>
              <w:jc w:val="center"/>
              <w:rPr>
                <w:sz w:val="20"/>
                <w:szCs w:val="20"/>
              </w:rPr>
            </w:pPr>
            <w:r>
              <w:rPr>
                <w:sz w:val="20"/>
                <w:szCs w:val="20"/>
              </w:rPr>
              <w:t>7</w:t>
            </w:r>
          </w:p>
        </w:tc>
        <w:tc>
          <w:tcPr>
            <w:tcW w:w="2340" w:type="dxa"/>
            <w:tcBorders>
              <w:top w:val="single" w:color="auto" w:sz="4" w:space="0"/>
              <w:left w:val="single" w:color="auto" w:sz="4" w:space="0"/>
              <w:bottom w:val="single" w:color="auto" w:sz="4" w:space="0"/>
              <w:right w:val="single" w:color="auto" w:sz="4" w:space="0"/>
            </w:tcBorders>
            <w:vAlign w:val="center"/>
          </w:tcPr>
          <w:p w14:paraId="21D4A8EE">
            <w:pPr>
              <w:autoSpaceDE w:val="0"/>
              <w:autoSpaceDN w:val="0"/>
              <w:adjustRightInd w:val="0"/>
              <w:spacing w:line="240" w:lineRule="auto"/>
              <w:jc w:val="center"/>
              <w:rPr>
                <w:sz w:val="20"/>
                <w:szCs w:val="20"/>
              </w:rPr>
            </w:pPr>
            <w:r>
              <w:rPr>
                <w:sz w:val="20"/>
                <w:szCs w:val="20"/>
              </w:rPr>
              <w:t>6.42/5</w:t>
            </w:r>
          </w:p>
        </w:tc>
        <w:tc>
          <w:tcPr>
            <w:tcW w:w="2340" w:type="dxa"/>
            <w:tcBorders>
              <w:top w:val="single" w:color="auto" w:sz="4" w:space="0"/>
              <w:left w:val="single" w:color="auto" w:sz="4" w:space="0"/>
              <w:bottom w:val="single" w:color="auto" w:sz="4" w:space="0"/>
              <w:right w:val="single" w:color="auto" w:sz="4" w:space="0"/>
            </w:tcBorders>
            <w:vAlign w:val="center"/>
          </w:tcPr>
          <w:p w14:paraId="13428656">
            <w:pPr>
              <w:autoSpaceDE w:val="0"/>
              <w:autoSpaceDN w:val="0"/>
              <w:adjustRightInd w:val="0"/>
              <w:spacing w:line="240" w:lineRule="auto"/>
              <w:jc w:val="center"/>
              <w:rPr>
                <w:sz w:val="20"/>
                <w:szCs w:val="20"/>
              </w:rPr>
            </w:pPr>
            <w:r>
              <w:rPr>
                <w:sz w:val="20"/>
                <w:szCs w:val="20"/>
              </w:rPr>
              <w:t>9.04/17</w:t>
            </w:r>
          </w:p>
        </w:tc>
        <w:tc>
          <w:tcPr>
            <w:tcW w:w="2340" w:type="dxa"/>
            <w:tcBorders>
              <w:top w:val="single" w:color="auto" w:sz="4" w:space="0"/>
              <w:left w:val="single" w:color="auto" w:sz="4" w:space="0"/>
              <w:bottom w:val="single" w:color="auto" w:sz="4" w:space="0"/>
              <w:right w:val="single" w:color="auto" w:sz="4" w:space="0"/>
            </w:tcBorders>
            <w:vAlign w:val="center"/>
          </w:tcPr>
          <w:p w14:paraId="748DE7C6">
            <w:pPr>
              <w:autoSpaceDE w:val="0"/>
              <w:autoSpaceDN w:val="0"/>
              <w:adjustRightInd w:val="0"/>
              <w:spacing w:line="240" w:lineRule="auto"/>
              <w:jc w:val="center"/>
              <w:rPr>
                <w:sz w:val="20"/>
                <w:szCs w:val="20"/>
              </w:rPr>
            </w:pPr>
            <w:r>
              <w:rPr>
                <w:sz w:val="20"/>
                <w:szCs w:val="20"/>
              </w:rPr>
              <w:t>8.28/7</w:t>
            </w:r>
          </w:p>
        </w:tc>
      </w:tr>
      <w:tr w14:paraId="18804420">
        <w:trPr>
          <w:jc w:val="center"/>
        </w:trPr>
        <w:tc>
          <w:tcPr>
            <w:tcW w:w="1276" w:type="dxa"/>
            <w:tcBorders>
              <w:top w:val="single" w:color="auto" w:sz="4" w:space="0"/>
              <w:left w:val="single" w:color="auto" w:sz="4" w:space="0"/>
              <w:bottom w:val="single" w:color="auto" w:sz="4" w:space="0"/>
              <w:right w:val="single" w:color="auto" w:sz="4" w:space="0"/>
            </w:tcBorders>
            <w:vAlign w:val="center"/>
          </w:tcPr>
          <w:p w14:paraId="6D215B57">
            <w:pPr>
              <w:autoSpaceDE w:val="0"/>
              <w:autoSpaceDN w:val="0"/>
              <w:adjustRightInd w:val="0"/>
              <w:spacing w:line="240" w:lineRule="auto"/>
              <w:jc w:val="center"/>
              <w:rPr>
                <w:sz w:val="20"/>
                <w:szCs w:val="20"/>
              </w:rPr>
            </w:pPr>
            <w:r>
              <w:rPr>
                <w:sz w:val="20"/>
                <w:szCs w:val="20"/>
              </w:rPr>
              <w:t>10</w:t>
            </w:r>
          </w:p>
        </w:tc>
        <w:tc>
          <w:tcPr>
            <w:tcW w:w="2340" w:type="dxa"/>
            <w:tcBorders>
              <w:top w:val="single" w:color="auto" w:sz="4" w:space="0"/>
              <w:left w:val="single" w:color="auto" w:sz="4" w:space="0"/>
              <w:bottom w:val="single" w:color="auto" w:sz="4" w:space="0"/>
              <w:right w:val="single" w:color="auto" w:sz="4" w:space="0"/>
            </w:tcBorders>
            <w:vAlign w:val="center"/>
          </w:tcPr>
          <w:p w14:paraId="034E5D5C">
            <w:pPr>
              <w:autoSpaceDE w:val="0"/>
              <w:autoSpaceDN w:val="0"/>
              <w:adjustRightInd w:val="0"/>
              <w:spacing w:line="240" w:lineRule="auto"/>
              <w:jc w:val="center"/>
              <w:rPr>
                <w:sz w:val="20"/>
                <w:szCs w:val="20"/>
              </w:rPr>
            </w:pPr>
            <w:r>
              <w:rPr>
                <w:sz w:val="20"/>
                <w:szCs w:val="20"/>
              </w:rPr>
              <w:t>5.98/5</w:t>
            </w:r>
          </w:p>
        </w:tc>
        <w:tc>
          <w:tcPr>
            <w:tcW w:w="2340" w:type="dxa"/>
            <w:tcBorders>
              <w:top w:val="single" w:color="auto" w:sz="4" w:space="0"/>
              <w:left w:val="single" w:color="auto" w:sz="4" w:space="0"/>
              <w:bottom w:val="single" w:color="auto" w:sz="4" w:space="0"/>
              <w:right w:val="single" w:color="auto" w:sz="4" w:space="0"/>
            </w:tcBorders>
            <w:vAlign w:val="center"/>
          </w:tcPr>
          <w:p w14:paraId="3A912145">
            <w:pPr>
              <w:autoSpaceDE w:val="0"/>
              <w:autoSpaceDN w:val="0"/>
              <w:adjustRightInd w:val="0"/>
              <w:spacing w:line="240" w:lineRule="auto"/>
              <w:jc w:val="center"/>
              <w:rPr>
                <w:sz w:val="20"/>
                <w:szCs w:val="20"/>
              </w:rPr>
            </w:pPr>
            <w:r>
              <w:rPr>
                <w:sz w:val="20"/>
                <w:szCs w:val="20"/>
              </w:rPr>
              <w:t>9.16/17</w:t>
            </w:r>
          </w:p>
        </w:tc>
        <w:tc>
          <w:tcPr>
            <w:tcW w:w="2340" w:type="dxa"/>
            <w:tcBorders>
              <w:top w:val="single" w:color="auto" w:sz="4" w:space="0"/>
              <w:left w:val="single" w:color="auto" w:sz="4" w:space="0"/>
              <w:bottom w:val="single" w:color="auto" w:sz="4" w:space="0"/>
              <w:right w:val="single" w:color="auto" w:sz="4" w:space="0"/>
            </w:tcBorders>
            <w:vAlign w:val="center"/>
          </w:tcPr>
          <w:p w14:paraId="23373886">
            <w:pPr>
              <w:autoSpaceDE w:val="0"/>
              <w:autoSpaceDN w:val="0"/>
              <w:adjustRightInd w:val="0"/>
              <w:spacing w:line="240" w:lineRule="auto"/>
              <w:jc w:val="center"/>
              <w:rPr>
                <w:sz w:val="20"/>
                <w:szCs w:val="20"/>
              </w:rPr>
            </w:pPr>
            <w:r>
              <w:rPr>
                <w:sz w:val="20"/>
                <w:szCs w:val="20"/>
              </w:rPr>
              <w:t>7.31/7</w:t>
            </w:r>
          </w:p>
        </w:tc>
      </w:tr>
      <w:tr w14:paraId="176A56A2">
        <w:trPr>
          <w:jc w:val="center"/>
        </w:trPr>
        <w:tc>
          <w:tcPr>
            <w:tcW w:w="1276" w:type="dxa"/>
            <w:tcBorders>
              <w:top w:val="single" w:color="auto" w:sz="4" w:space="0"/>
              <w:left w:val="single" w:color="auto" w:sz="4" w:space="0"/>
              <w:bottom w:val="single" w:color="auto" w:sz="4" w:space="0"/>
              <w:right w:val="single" w:color="auto" w:sz="4" w:space="0"/>
            </w:tcBorders>
            <w:vAlign w:val="center"/>
          </w:tcPr>
          <w:p w14:paraId="0BC23221">
            <w:pPr>
              <w:autoSpaceDE w:val="0"/>
              <w:autoSpaceDN w:val="0"/>
              <w:adjustRightInd w:val="0"/>
              <w:spacing w:line="240" w:lineRule="auto"/>
              <w:jc w:val="center"/>
              <w:rPr>
                <w:sz w:val="20"/>
                <w:szCs w:val="20"/>
              </w:rPr>
            </w:pPr>
            <w:r>
              <w:rPr>
                <w:sz w:val="20"/>
                <w:szCs w:val="20"/>
              </w:rPr>
              <w:t>13</w:t>
            </w:r>
          </w:p>
        </w:tc>
        <w:tc>
          <w:tcPr>
            <w:tcW w:w="2340" w:type="dxa"/>
            <w:tcBorders>
              <w:top w:val="single" w:color="auto" w:sz="4" w:space="0"/>
              <w:left w:val="single" w:color="auto" w:sz="4" w:space="0"/>
              <w:bottom w:val="single" w:color="auto" w:sz="4" w:space="0"/>
              <w:right w:val="single" w:color="auto" w:sz="4" w:space="0"/>
            </w:tcBorders>
            <w:vAlign w:val="center"/>
          </w:tcPr>
          <w:p w14:paraId="79DB7DB5">
            <w:pPr>
              <w:autoSpaceDE w:val="0"/>
              <w:autoSpaceDN w:val="0"/>
              <w:adjustRightInd w:val="0"/>
              <w:spacing w:line="240" w:lineRule="auto"/>
              <w:jc w:val="center"/>
              <w:rPr>
                <w:sz w:val="20"/>
                <w:szCs w:val="20"/>
              </w:rPr>
            </w:pPr>
            <w:r>
              <w:rPr>
                <w:sz w:val="20"/>
                <w:szCs w:val="20"/>
              </w:rPr>
              <w:t>5.78/5</w:t>
            </w:r>
          </w:p>
        </w:tc>
        <w:tc>
          <w:tcPr>
            <w:tcW w:w="2340" w:type="dxa"/>
            <w:tcBorders>
              <w:top w:val="single" w:color="auto" w:sz="4" w:space="0"/>
              <w:left w:val="single" w:color="auto" w:sz="4" w:space="0"/>
              <w:bottom w:val="single" w:color="auto" w:sz="4" w:space="0"/>
              <w:right w:val="single" w:color="auto" w:sz="4" w:space="0"/>
            </w:tcBorders>
            <w:vAlign w:val="center"/>
          </w:tcPr>
          <w:p w14:paraId="66848D33">
            <w:pPr>
              <w:autoSpaceDE w:val="0"/>
              <w:autoSpaceDN w:val="0"/>
              <w:adjustRightInd w:val="0"/>
              <w:spacing w:line="240" w:lineRule="auto"/>
              <w:jc w:val="center"/>
              <w:rPr>
                <w:sz w:val="20"/>
                <w:szCs w:val="20"/>
              </w:rPr>
            </w:pPr>
            <w:r>
              <w:rPr>
                <w:sz w:val="20"/>
                <w:szCs w:val="20"/>
              </w:rPr>
              <w:t>8.94/17</w:t>
            </w:r>
          </w:p>
        </w:tc>
        <w:tc>
          <w:tcPr>
            <w:tcW w:w="2340" w:type="dxa"/>
            <w:tcBorders>
              <w:top w:val="single" w:color="auto" w:sz="4" w:space="0"/>
              <w:left w:val="single" w:color="auto" w:sz="4" w:space="0"/>
              <w:bottom w:val="single" w:color="auto" w:sz="4" w:space="0"/>
              <w:right w:val="single" w:color="auto" w:sz="4" w:space="0"/>
            </w:tcBorders>
            <w:vAlign w:val="center"/>
          </w:tcPr>
          <w:p w14:paraId="0E0CAD8B">
            <w:pPr>
              <w:autoSpaceDE w:val="0"/>
              <w:autoSpaceDN w:val="0"/>
              <w:adjustRightInd w:val="0"/>
              <w:spacing w:line="240" w:lineRule="auto"/>
              <w:jc w:val="center"/>
              <w:rPr>
                <w:sz w:val="20"/>
                <w:szCs w:val="20"/>
              </w:rPr>
            </w:pPr>
            <w:r>
              <w:rPr>
                <w:sz w:val="20"/>
                <w:szCs w:val="20"/>
              </w:rPr>
              <w:t>6.98/7</w:t>
            </w:r>
          </w:p>
        </w:tc>
      </w:tr>
    </w:tbl>
    <w:p w14:paraId="303E440E">
      <w:pPr>
        <w:rPr>
          <w:sz w:val="20"/>
          <w:szCs w:val="20"/>
        </w:rPr>
      </w:pPr>
    </w:p>
    <w:p w14:paraId="7A10BF17">
      <w:pPr>
        <w:rPr>
          <w:rFonts w:cs="Times New Roman"/>
          <w:b/>
          <w:bCs/>
          <w:i/>
          <w:iCs/>
          <w:sz w:val="20"/>
          <w:szCs w:val="20"/>
        </w:rPr>
      </w:pPr>
      <w:r>
        <w:rPr>
          <w:rFonts w:cs="Times New Roman"/>
          <w:b/>
          <w:bCs/>
          <w:i/>
          <w:iCs/>
          <w:sz w:val="20"/>
          <w:szCs w:val="20"/>
          <w:u w:val="single"/>
        </w:rPr>
        <w:t>Observation 4</w:t>
      </w:r>
      <w:r>
        <w:rPr>
          <w:rFonts w:hint="eastAsia" w:cs="Times New Roman"/>
          <w:b/>
          <w:bCs/>
          <w:i/>
          <w:iCs/>
          <w:sz w:val="20"/>
          <w:szCs w:val="20"/>
        </w:rPr>
        <w:t>：</w:t>
      </w:r>
      <w:r>
        <w:rPr>
          <w:rFonts w:cs="Times New Roman"/>
          <w:i/>
          <w:iCs/>
          <w:sz w:val="20"/>
          <w:szCs w:val="20"/>
        </w:rPr>
        <w:t>The mean values of the intra-cluster DS, ASA, and ESA are very similar across different frequency bands. However, there is still a trend of decreasing with increasing frequency.</w:t>
      </w:r>
    </w:p>
    <w:p w14:paraId="3685D39B">
      <w:pPr>
        <w:rPr>
          <w:rFonts w:cs="Times New Roman"/>
          <w:i/>
          <w:iCs/>
          <w:sz w:val="20"/>
          <w:szCs w:val="20"/>
        </w:rPr>
      </w:pPr>
      <w:r>
        <w:rPr>
          <w:rFonts w:hint="eastAsia" w:cs="Times New Roman"/>
          <w:b/>
          <w:bCs/>
          <w:i/>
          <w:iCs/>
          <w:sz w:val="20"/>
          <w:szCs w:val="20"/>
          <w:u w:val="single"/>
        </w:rPr>
        <w:t xml:space="preserve">Proposal </w:t>
      </w:r>
      <w:r>
        <w:rPr>
          <w:rFonts w:cs="Times New Roman"/>
          <w:b/>
          <w:bCs/>
          <w:i/>
          <w:iCs/>
          <w:sz w:val="20"/>
          <w:szCs w:val="20"/>
          <w:u w:val="single"/>
        </w:rPr>
        <w:t>4</w:t>
      </w:r>
      <w:r>
        <w:rPr>
          <w:rFonts w:hint="eastAsia" w:cs="Times New Roman"/>
          <w:i/>
          <w:iCs/>
          <w:sz w:val="20"/>
          <w:szCs w:val="20"/>
        </w:rPr>
        <w:t xml:space="preserve">: </w:t>
      </w:r>
      <w:r>
        <w:rPr>
          <w:rFonts w:cs="Times New Roman"/>
          <w:i/>
          <w:iCs/>
          <w:sz w:val="20"/>
          <w:szCs w:val="20"/>
        </w:rPr>
        <w:t>Setting the same intra-cluster DS, ASA, and ESA for different clusters in the 3GPP model might be unreasonable, and the mean of the intra-cluster ASA is notably higher than that of the measured results.</w:t>
      </w:r>
    </w:p>
    <w:p w14:paraId="3AC9ED8A">
      <w:pPr>
        <w:rPr>
          <w:rFonts w:cs="Times New Roman"/>
          <w:i/>
          <w:iCs/>
        </w:rPr>
      </w:pPr>
    </w:p>
    <w:p w14:paraId="7D7FA13E">
      <w:pPr>
        <w:rPr>
          <w:rFonts w:hint="default" w:ascii="Times New Roman Regular" w:hAnsi="Times New Roman Regular" w:cs="Times New Roman Regular"/>
        </w:rPr>
      </w:pPr>
      <w:r>
        <w:rPr>
          <w:rFonts w:hint="default" w:ascii="Times New Roman Regular" w:hAnsi="Times New Roman Regular" w:cs="Times New Roman Regular"/>
        </w:rPr>
        <w:t>2.2.5 K-factor</w:t>
      </w:r>
    </w:p>
    <w:p w14:paraId="24137386">
      <w:pPr>
        <w:ind w:firstLine="200" w:firstLineChars="100"/>
        <w:rPr>
          <w:rFonts w:cs="Times New Roman"/>
          <w:sz w:val="20"/>
          <w:szCs w:val="20"/>
        </w:rPr>
      </w:pPr>
      <w:r>
        <w:rPr>
          <w:rFonts w:cs="Times New Roman"/>
          <w:sz w:val="20"/>
          <w:szCs w:val="20"/>
        </w:rPr>
        <w:t xml:space="preserve">The K-factor (KF) measurement and fitting results at 7, 10, and 13 GHz are shown in </w:t>
      </w:r>
      <w:r>
        <w:rPr>
          <w:rFonts w:cs="Times New Roman"/>
          <w:sz w:val="20"/>
          <w:szCs w:val="20"/>
        </w:rPr>
        <w:fldChar w:fldCharType="begin"/>
      </w:r>
      <w:r>
        <w:rPr>
          <w:rFonts w:cs="Times New Roman"/>
          <w:sz w:val="20"/>
          <w:szCs w:val="20"/>
        </w:rPr>
        <w:instrText xml:space="preserve"> REF _Ref177653700 \h  \* MERGEFORMAT </w:instrText>
      </w:r>
      <w:r>
        <w:rPr>
          <w:rFonts w:cs="Times New Roman"/>
          <w:sz w:val="20"/>
          <w:szCs w:val="20"/>
        </w:rPr>
        <w:fldChar w:fldCharType="separate"/>
      </w:r>
      <w:r>
        <w:rPr>
          <w:sz w:val="20"/>
          <w:szCs w:val="20"/>
        </w:rPr>
        <w:t>Fig. 8</w:t>
      </w:r>
      <w:r>
        <w:rPr>
          <w:rFonts w:cs="Times New Roman"/>
          <w:sz w:val="20"/>
          <w:szCs w:val="20"/>
        </w:rPr>
        <w:fldChar w:fldCharType="end"/>
      </w:r>
      <w:r>
        <w:rPr>
          <w:rFonts w:cs="Times New Roman"/>
          <w:sz w:val="20"/>
          <w:szCs w:val="20"/>
        </w:rPr>
        <w:t xml:space="preserve">. It can be observed that the KF increases with increasing frequency, and the KFs at all bands follow a normal distribution. A detailed comparison of the KF with 3GPP is provided in </w:t>
      </w:r>
      <w:r>
        <w:rPr>
          <w:rFonts w:cs="Times New Roman"/>
          <w:sz w:val="20"/>
          <w:szCs w:val="20"/>
        </w:rPr>
        <w:fldChar w:fldCharType="begin"/>
      </w:r>
      <w:r>
        <w:rPr>
          <w:rFonts w:cs="Times New Roman"/>
          <w:sz w:val="20"/>
          <w:szCs w:val="20"/>
        </w:rPr>
        <w:instrText xml:space="preserve"> REF _Ref178534671 \h  \* MERGEFORMAT </w:instrText>
      </w:r>
      <w:r>
        <w:rPr>
          <w:rFonts w:cs="Times New Roman"/>
          <w:sz w:val="20"/>
          <w:szCs w:val="20"/>
        </w:rPr>
        <w:fldChar w:fldCharType="separate"/>
      </w:r>
      <w:r>
        <w:rPr>
          <w:sz w:val="20"/>
          <w:szCs w:val="20"/>
        </w:rPr>
        <w:t>Table 6</w:t>
      </w:r>
      <w:r>
        <w:rPr>
          <w:rFonts w:cs="Times New Roman"/>
          <w:sz w:val="20"/>
          <w:szCs w:val="20"/>
        </w:rPr>
        <w:fldChar w:fldCharType="end"/>
      </w:r>
      <w:r>
        <w:rPr>
          <w:rFonts w:cs="Times New Roman"/>
          <w:sz w:val="20"/>
          <w:szCs w:val="20"/>
        </w:rPr>
        <w:fldChar w:fldCharType="begin"/>
      </w:r>
      <w:r>
        <w:rPr>
          <w:rFonts w:cs="Times New Roman"/>
          <w:sz w:val="20"/>
          <w:szCs w:val="20"/>
        </w:rPr>
        <w:instrText xml:space="preserve"> REF _Ref177653513 \h  \* MERGEFORMAT </w:instrText>
      </w:r>
      <w:r>
        <w:rPr>
          <w:rFonts w:cs="Times New Roman"/>
          <w:sz w:val="20"/>
          <w:szCs w:val="20"/>
        </w:rPr>
        <w:fldChar w:fldCharType="separate"/>
      </w:r>
      <w:r>
        <w:rPr>
          <w:rFonts w:cs="Times New Roman"/>
          <w:sz w:val="20"/>
          <w:szCs w:val="20"/>
        </w:rPr>
        <w:fldChar w:fldCharType="end"/>
      </w:r>
      <w:r>
        <w:rPr>
          <w:rFonts w:cs="Times New Roman"/>
          <w:sz w:val="20"/>
          <w:szCs w:val="20"/>
        </w:rPr>
        <w:t>.</w:t>
      </w:r>
    </w:p>
    <w:p w14:paraId="2031C019">
      <w:pPr>
        <w:ind w:firstLine="200" w:firstLineChars="100"/>
        <w:rPr>
          <w:rFonts w:cs="Times New Roman"/>
          <w:sz w:val="20"/>
          <w:szCs w:val="20"/>
        </w:rPr>
      </w:pPr>
    </w:p>
    <w:p w14:paraId="0D55BF9B">
      <w:pPr>
        <w:keepNext/>
        <w:jc w:val="center"/>
        <w:rPr>
          <w:sz w:val="20"/>
          <w:szCs w:val="20"/>
        </w:rPr>
      </w:pPr>
      <w:r>
        <w:rPr>
          <w:sz w:val="20"/>
          <w:szCs w:val="20"/>
        </w:rPr>
        <w:drawing>
          <wp:inline distT="0" distB="0" distL="0" distR="0">
            <wp:extent cx="3467100" cy="278828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471448" cy="2792355"/>
                    </a:xfrm>
                    <a:prstGeom prst="rect">
                      <a:avLst/>
                    </a:prstGeom>
                    <a:noFill/>
                    <a:ln>
                      <a:noFill/>
                    </a:ln>
                  </pic:spPr>
                </pic:pic>
              </a:graphicData>
            </a:graphic>
          </wp:inline>
        </w:drawing>
      </w:r>
    </w:p>
    <w:p w14:paraId="36B95020">
      <w:pPr>
        <w:pStyle w:val="5"/>
        <w:jc w:val="center"/>
      </w:pPr>
      <w:bookmarkStart w:id="15" w:name="_Ref177653700"/>
      <w:r>
        <w:t xml:space="preserve">Fig. </w:t>
      </w:r>
      <w:r>
        <w:fldChar w:fldCharType="begin"/>
      </w:r>
      <w:r>
        <w:instrText xml:space="preserve"> SEQ Fig. \* ARABIC </w:instrText>
      </w:r>
      <w:r>
        <w:fldChar w:fldCharType="separate"/>
      </w:r>
      <w:r>
        <w:t>8</w:t>
      </w:r>
      <w:r>
        <w:fldChar w:fldCharType="end"/>
      </w:r>
      <w:bookmarkEnd w:id="15"/>
      <w:r>
        <w:t xml:space="preserve">. KF at different frequency bands. </w:t>
      </w:r>
    </w:p>
    <w:p w14:paraId="5D433F9A">
      <w:pPr>
        <w:rPr>
          <w:sz w:val="20"/>
          <w:szCs w:val="20"/>
        </w:rPr>
      </w:pPr>
    </w:p>
    <w:p w14:paraId="1FB3B7CE">
      <w:pPr>
        <w:pStyle w:val="5"/>
        <w:keepNext/>
        <w:jc w:val="center"/>
      </w:pPr>
      <w:bookmarkStart w:id="16" w:name="_Ref178534671"/>
      <w:r>
        <w:t xml:space="preserve">Table </w:t>
      </w:r>
      <w:r>
        <w:fldChar w:fldCharType="begin"/>
      </w:r>
      <w:r>
        <w:instrText xml:space="preserve"> SEQ Table \* ARABIC </w:instrText>
      </w:r>
      <w:r>
        <w:fldChar w:fldCharType="separate"/>
      </w:r>
      <w:r>
        <w:t>6</w:t>
      </w:r>
      <w:r>
        <w:fldChar w:fldCharType="end"/>
      </w:r>
      <w:bookmarkEnd w:id="16"/>
      <w:r>
        <w:t>. KF fitting parameters at different frequency bands [1].</w:t>
      </w:r>
    </w:p>
    <w:tbl>
      <w:tblPr>
        <w:tblStyle w:val="13"/>
        <w:tblW w:w="304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38"/>
        <w:gridCol w:w="2166"/>
        <w:gridCol w:w="1805"/>
      </w:tblGrid>
      <w:tr w14:paraId="5D2F06F6">
        <w:trPr>
          <w:jc w:val="center"/>
        </w:trPr>
        <w:tc>
          <w:tcPr>
            <w:tcW w:w="1696" w:type="pct"/>
            <w:vMerge w:val="restart"/>
            <w:vAlign w:val="center"/>
          </w:tcPr>
          <w:p w14:paraId="5D690254">
            <w:pPr>
              <w:autoSpaceDE w:val="0"/>
              <w:autoSpaceDN w:val="0"/>
              <w:adjustRightInd w:val="0"/>
              <w:spacing w:line="240" w:lineRule="auto"/>
              <w:jc w:val="center"/>
              <w:rPr>
                <w:rFonts w:cs="Times New Roman"/>
                <w:sz w:val="20"/>
                <w:szCs w:val="20"/>
              </w:rPr>
            </w:pPr>
            <w:r>
              <w:rPr>
                <w:rFonts w:cs="Times New Roman"/>
                <w:sz w:val="20"/>
                <w:szCs w:val="20"/>
              </w:rPr>
              <w:t>Frequency</w:t>
            </w:r>
          </w:p>
          <w:p w14:paraId="538CCDF5">
            <w:pPr>
              <w:autoSpaceDE w:val="0"/>
              <w:autoSpaceDN w:val="0"/>
              <w:adjustRightInd w:val="0"/>
              <w:spacing w:line="240" w:lineRule="auto"/>
              <w:jc w:val="center"/>
              <w:rPr>
                <w:rFonts w:cs="Times New Roman"/>
                <w:sz w:val="20"/>
                <w:szCs w:val="20"/>
              </w:rPr>
            </w:pPr>
            <w:r>
              <w:rPr>
                <w:rFonts w:cs="Times New Roman"/>
                <w:sz w:val="20"/>
                <w:szCs w:val="20"/>
              </w:rPr>
              <w:t xml:space="preserve">(GHz) </w:t>
            </w:r>
          </w:p>
        </w:tc>
        <w:tc>
          <w:tcPr>
            <w:tcW w:w="3304" w:type="pct"/>
            <w:gridSpan w:val="2"/>
            <w:vAlign w:val="center"/>
          </w:tcPr>
          <w:p w14:paraId="5BC6062C">
            <w:pPr>
              <w:autoSpaceDE w:val="0"/>
              <w:autoSpaceDN w:val="0"/>
              <w:adjustRightInd w:val="0"/>
              <w:spacing w:line="240" w:lineRule="auto"/>
              <w:jc w:val="center"/>
              <w:rPr>
                <w:rFonts w:cs="Times New Roman"/>
                <w:sz w:val="20"/>
                <w:szCs w:val="20"/>
              </w:rPr>
            </w:pPr>
            <w:r>
              <w:rPr>
                <w:rFonts w:cs="Times New Roman"/>
                <w:sz w:val="20"/>
                <w:szCs w:val="20"/>
              </w:rPr>
              <w:t>LoS</w:t>
            </w:r>
          </w:p>
          <w:p w14:paraId="56E79B7A">
            <w:pPr>
              <w:autoSpaceDE w:val="0"/>
              <w:autoSpaceDN w:val="0"/>
              <w:adjustRightInd w:val="0"/>
              <w:spacing w:line="240" w:lineRule="auto"/>
              <w:jc w:val="center"/>
              <w:rPr>
                <w:rFonts w:cs="Times New Roman"/>
                <w:sz w:val="20"/>
                <w:szCs w:val="20"/>
              </w:rPr>
            </w:pPr>
            <w:r>
              <w:rPr>
                <w:rFonts w:cs="Times New Roman"/>
                <w:sz w:val="20"/>
                <w:szCs w:val="20"/>
              </w:rPr>
              <w:t>Measurements/3GPP</w:t>
            </w:r>
          </w:p>
        </w:tc>
      </w:tr>
      <w:tr w14:paraId="530684D9">
        <w:trPr>
          <w:jc w:val="center"/>
        </w:trPr>
        <w:tc>
          <w:tcPr>
            <w:tcW w:w="1696" w:type="pct"/>
            <w:vMerge w:val="continue"/>
            <w:vAlign w:val="center"/>
          </w:tcPr>
          <w:p w14:paraId="702AE3B4">
            <w:pPr>
              <w:autoSpaceDE w:val="0"/>
              <w:autoSpaceDN w:val="0"/>
              <w:adjustRightInd w:val="0"/>
              <w:spacing w:line="240" w:lineRule="auto"/>
              <w:jc w:val="center"/>
              <w:rPr>
                <w:rFonts w:cs="Times New Roman"/>
                <w:sz w:val="20"/>
                <w:szCs w:val="20"/>
              </w:rPr>
            </w:pPr>
          </w:p>
        </w:tc>
        <w:tc>
          <w:tcPr>
            <w:tcW w:w="1802" w:type="pct"/>
            <w:vAlign w:val="center"/>
          </w:tcPr>
          <w:p w14:paraId="386E7683">
            <w:pPr>
              <w:autoSpaceDE w:val="0"/>
              <w:autoSpaceDN w:val="0"/>
              <w:adjustRightInd w:val="0"/>
              <w:spacing w:line="240" w:lineRule="auto"/>
              <w:jc w:val="center"/>
              <w:rPr>
                <w:rFonts w:cs="Times New Roman"/>
                <w:sz w:val="20"/>
                <w:szCs w:val="20"/>
              </w:rPr>
            </w:pPr>
            <m:oMath>
              <m:sSub>
                <m:sSubPr>
                  <m:ctrlPr>
                    <w:rPr>
                      <w:rFonts w:ascii="Cambria Math" w:hAnsi="Cambria Math" w:cs="Times New Roman"/>
                      <w:i/>
                      <w:sz w:val="20"/>
                      <w:szCs w:val="20"/>
                    </w:rPr>
                  </m:ctrlPr>
                </m:sSubPr>
                <m:e>
                  <m:r>
                    <m:rPr/>
                    <w:rPr>
                      <w:rFonts w:ascii="Cambria Math" w:hAnsi="Cambria Math" w:cs="Times New Roman"/>
                      <w:sz w:val="20"/>
                      <w:szCs w:val="20"/>
                    </w:rPr>
                    <m:t>µ</m:t>
                  </m:r>
                  <m:ctrlPr>
                    <w:rPr>
                      <w:rFonts w:ascii="Cambria Math" w:hAnsi="Cambria Math" w:cs="Times New Roman"/>
                      <w:i/>
                      <w:sz w:val="20"/>
                      <w:szCs w:val="20"/>
                    </w:rPr>
                  </m:ctrlPr>
                </m:e>
                <m:sub>
                  <m:r>
                    <m:rPr>
                      <m:sty m:val="p"/>
                    </m:rPr>
                    <w:rPr>
                      <w:rFonts w:ascii="Cambria Math" w:hAnsi="Cambria Math" w:cs="Times New Roman"/>
                      <w:sz w:val="20"/>
                      <w:szCs w:val="20"/>
                    </w:rPr>
                    <m:t>KF</m:t>
                  </m:r>
                  <m:ctrlPr>
                    <w:rPr>
                      <w:rFonts w:ascii="Cambria Math" w:hAnsi="Cambria Math" w:cs="Times New Roman"/>
                      <w:i/>
                      <w:sz w:val="20"/>
                      <w:szCs w:val="20"/>
                    </w:rPr>
                  </m:ctrlPr>
                </m:sub>
              </m:sSub>
              <m:r>
                <m:rPr>
                  <m:sty m:val="p"/>
                </m:rPr>
                <w:rPr>
                  <w:rFonts w:ascii="Cambria Math" w:hAnsi="Cambria Math" w:cs="Times New Roman"/>
                  <w:sz w:val="20"/>
                  <w:szCs w:val="20"/>
                </w:rPr>
                <m:t xml:space="preserve"> </m:t>
              </m:r>
            </m:oMath>
            <w:r>
              <w:rPr>
                <w:rFonts w:cs="Times New Roman"/>
                <w:sz w:val="20"/>
                <w:szCs w:val="20"/>
              </w:rPr>
              <w:t>(dB)</w:t>
            </w:r>
          </w:p>
        </w:tc>
        <w:tc>
          <w:tcPr>
            <w:tcW w:w="1502" w:type="pct"/>
            <w:vAlign w:val="center"/>
          </w:tcPr>
          <w:p w14:paraId="00C55ED4">
            <w:pPr>
              <w:autoSpaceDE w:val="0"/>
              <w:autoSpaceDN w:val="0"/>
              <w:adjustRightInd w:val="0"/>
              <w:spacing w:line="240" w:lineRule="auto"/>
              <w:jc w:val="center"/>
              <w:rPr>
                <w:rFonts w:cs="Times New Roman"/>
                <w:sz w:val="20"/>
                <w:szCs w:val="20"/>
              </w:rPr>
            </w:pPr>
            <m:oMath>
              <m:sSub>
                <m:sSubPr>
                  <m:ctrlPr>
                    <w:rPr>
                      <w:rFonts w:ascii="Cambria Math" w:hAnsi="Cambria Math" w:cs="Times New Roman"/>
                      <w:i/>
                      <w:sz w:val="20"/>
                      <w:szCs w:val="20"/>
                    </w:rPr>
                  </m:ctrlPr>
                </m:sSubPr>
                <m:e>
                  <m:r>
                    <m:rPr/>
                    <w:rPr>
                      <w:rFonts w:ascii="Cambria Math" w:hAnsi="Cambria Math" w:cs="Times New Roman"/>
                      <w:sz w:val="20"/>
                      <w:szCs w:val="20"/>
                    </w:rPr>
                    <m:t>σ</m:t>
                  </m:r>
                  <m:ctrlPr>
                    <w:rPr>
                      <w:rFonts w:ascii="Cambria Math" w:hAnsi="Cambria Math" w:cs="Times New Roman"/>
                      <w:i/>
                      <w:sz w:val="20"/>
                      <w:szCs w:val="20"/>
                    </w:rPr>
                  </m:ctrlPr>
                </m:e>
                <m:sub>
                  <m:r>
                    <m:rPr>
                      <m:sty m:val="p"/>
                    </m:rPr>
                    <w:rPr>
                      <w:rFonts w:ascii="Cambria Math" w:hAnsi="Cambria Math" w:cs="Times New Roman"/>
                      <w:sz w:val="20"/>
                      <w:szCs w:val="20"/>
                    </w:rPr>
                    <m:t>KF</m:t>
                  </m:r>
                  <m:ctrlPr>
                    <w:rPr>
                      <w:rFonts w:ascii="Cambria Math" w:hAnsi="Cambria Math" w:cs="Times New Roman"/>
                      <w:i/>
                      <w:sz w:val="20"/>
                      <w:szCs w:val="20"/>
                    </w:rPr>
                  </m:ctrlPr>
                </m:sub>
              </m:sSub>
              <m:r>
                <m:rPr>
                  <m:sty m:val="p"/>
                </m:rPr>
                <w:rPr>
                  <w:rFonts w:ascii="Cambria Math" w:hAnsi="Cambria Math" w:cs="Times New Roman"/>
                  <w:sz w:val="20"/>
                  <w:szCs w:val="20"/>
                </w:rPr>
                <m:t xml:space="preserve"> </m:t>
              </m:r>
            </m:oMath>
            <w:r>
              <w:rPr>
                <w:rFonts w:cs="Times New Roman"/>
                <w:sz w:val="20"/>
                <w:szCs w:val="20"/>
              </w:rPr>
              <w:t>(dB)</w:t>
            </w:r>
          </w:p>
        </w:tc>
      </w:tr>
      <w:tr w14:paraId="09E17517">
        <w:trPr>
          <w:jc w:val="center"/>
        </w:trPr>
        <w:tc>
          <w:tcPr>
            <w:tcW w:w="1696" w:type="pct"/>
            <w:vAlign w:val="center"/>
          </w:tcPr>
          <w:p w14:paraId="3C236238">
            <w:pPr>
              <w:autoSpaceDE w:val="0"/>
              <w:autoSpaceDN w:val="0"/>
              <w:adjustRightInd w:val="0"/>
              <w:spacing w:line="240" w:lineRule="auto"/>
              <w:jc w:val="center"/>
              <w:rPr>
                <w:rFonts w:cs="Times New Roman"/>
                <w:sz w:val="20"/>
                <w:szCs w:val="20"/>
              </w:rPr>
            </w:pPr>
            <w:r>
              <w:rPr>
                <w:rFonts w:cs="Times New Roman"/>
                <w:sz w:val="20"/>
                <w:szCs w:val="20"/>
              </w:rPr>
              <w:t>7</w:t>
            </w:r>
          </w:p>
        </w:tc>
        <w:tc>
          <w:tcPr>
            <w:tcW w:w="1802" w:type="pct"/>
            <w:vAlign w:val="center"/>
          </w:tcPr>
          <w:p w14:paraId="347BD75C">
            <w:pPr>
              <w:autoSpaceDE w:val="0"/>
              <w:autoSpaceDN w:val="0"/>
              <w:adjustRightInd w:val="0"/>
              <w:spacing w:line="240" w:lineRule="auto"/>
              <w:jc w:val="center"/>
              <w:rPr>
                <w:rFonts w:cs="Times New Roman"/>
                <w:sz w:val="20"/>
                <w:szCs w:val="20"/>
              </w:rPr>
            </w:pPr>
            <w:r>
              <w:rPr>
                <w:sz w:val="20"/>
                <w:szCs w:val="20"/>
              </w:rPr>
              <w:t>3.52</w:t>
            </w:r>
            <w:r>
              <w:rPr>
                <w:rFonts w:cs="Times New Roman"/>
                <w:sz w:val="20"/>
                <w:szCs w:val="20"/>
              </w:rPr>
              <w:t>/9</w:t>
            </w:r>
          </w:p>
        </w:tc>
        <w:tc>
          <w:tcPr>
            <w:tcW w:w="1502" w:type="pct"/>
            <w:vAlign w:val="center"/>
          </w:tcPr>
          <w:p w14:paraId="0E01B62C">
            <w:pPr>
              <w:autoSpaceDE w:val="0"/>
              <w:autoSpaceDN w:val="0"/>
              <w:adjustRightInd w:val="0"/>
              <w:spacing w:line="240" w:lineRule="auto"/>
              <w:jc w:val="center"/>
              <w:rPr>
                <w:rFonts w:cs="Times New Roman"/>
                <w:sz w:val="20"/>
                <w:szCs w:val="20"/>
              </w:rPr>
            </w:pPr>
            <w:r>
              <w:rPr>
                <w:sz w:val="20"/>
                <w:szCs w:val="20"/>
              </w:rPr>
              <w:t>5.15</w:t>
            </w:r>
            <w:r>
              <w:rPr>
                <w:rFonts w:cs="Times New Roman"/>
                <w:sz w:val="20"/>
                <w:szCs w:val="20"/>
              </w:rPr>
              <w:t>/5</w:t>
            </w:r>
          </w:p>
        </w:tc>
      </w:tr>
      <w:tr w14:paraId="326B8034">
        <w:trPr>
          <w:jc w:val="center"/>
        </w:trPr>
        <w:tc>
          <w:tcPr>
            <w:tcW w:w="1696" w:type="pct"/>
            <w:vAlign w:val="center"/>
          </w:tcPr>
          <w:p w14:paraId="29559C6B">
            <w:pPr>
              <w:autoSpaceDE w:val="0"/>
              <w:autoSpaceDN w:val="0"/>
              <w:adjustRightInd w:val="0"/>
              <w:spacing w:line="240" w:lineRule="auto"/>
              <w:jc w:val="center"/>
              <w:rPr>
                <w:rFonts w:cs="Times New Roman"/>
                <w:sz w:val="20"/>
                <w:szCs w:val="20"/>
              </w:rPr>
            </w:pPr>
            <w:r>
              <w:rPr>
                <w:rFonts w:cs="Times New Roman"/>
                <w:sz w:val="20"/>
                <w:szCs w:val="20"/>
              </w:rPr>
              <w:t>10</w:t>
            </w:r>
          </w:p>
        </w:tc>
        <w:tc>
          <w:tcPr>
            <w:tcW w:w="1802" w:type="pct"/>
            <w:vAlign w:val="center"/>
          </w:tcPr>
          <w:p w14:paraId="545E7D07">
            <w:pPr>
              <w:autoSpaceDE w:val="0"/>
              <w:autoSpaceDN w:val="0"/>
              <w:adjustRightInd w:val="0"/>
              <w:spacing w:line="240" w:lineRule="auto"/>
              <w:jc w:val="center"/>
              <w:rPr>
                <w:rFonts w:cs="Times New Roman"/>
                <w:sz w:val="20"/>
                <w:szCs w:val="20"/>
              </w:rPr>
            </w:pPr>
            <w:r>
              <w:rPr>
                <w:sz w:val="20"/>
                <w:szCs w:val="20"/>
              </w:rPr>
              <w:t>4.41</w:t>
            </w:r>
            <w:r>
              <w:rPr>
                <w:rFonts w:cs="Times New Roman"/>
                <w:sz w:val="20"/>
                <w:szCs w:val="20"/>
              </w:rPr>
              <w:t>/9</w:t>
            </w:r>
          </w:p>
        </w:tc>
        <w:tc>
          <w:tcPr>
            <w:tcW w:w="1502" w:type="pct"/>
            <w:vAlign w:val="center"/>
          </w:tcPr>
          <w:p w14:paraId="47EF4C4F">
            <w:pPr>
              <w:autoSpaceDE w:val="0"/>
              <w:autoSpaceDN w:val="0"/>
              <w:adjustRightInd w:val="0"/>
              <w:spacing w:line="240" w:lineRule="auto"/>
              <w:jc w:val="center"/>
              <w:rPr>
                <w:rFonts w:cs="Times New Roman"/>
                <w:sz w:val="20"/>
                <w:szCs w:val="20"/>
              </w:rPr>
            </w:pPr>
            <w:r>
              <w:rPr>
                <w:sz w:val="20"/>
                <w:szCs w:val="20"/>
              </w:rPr>
              <w:t>4.8</w:t>
            </w:r>
            <w:r>
              <w:rPr>
                <w:rFonts w:cs="Times New Roman"/>
                <w:sz w:val="20"/>
                <w:szCs w:val="20"/>
              </w:rPr>
              <w:t>/5</w:t>
            </w:r>
          </w:p>
        </w:tc>
      </w:tr>
      <w:tr w14:paraId="224934D6">
        <w:trPr>
          <w:jc w:val="center"/>
        </w:trPr>
        <w:tc>
          <w:tcPr>
            <w:tcW w:w="1696" w:type="pct"/>
            <w:vAlign w:val="center"/>
          </w:tcPr>
          <w:p w14:paraId="61220DA6">
            <w:pPr>
              <w:autoSpaceDE w:val="0"/>
              <w:autoSpaceDN w:val="0"/>
              <w:adjustRightInd w:val="0"/>
              <w:spacing w:line="240" w:lineRule="auto"/>
              <w:jc w:val="center"/>
              <w:rPr>
                <w:rFonts w:cs="Times New Roman"/>
                <w:sz w:val="20"/>
                <w:szCs w:val="20"/>
              </w:rPr>
            </w:pPr>
            <w:r>
              <w:rPr>
                <w:rFonts w:cs="Times New Roman"/>
                <w:sz w:val="20"/>
                <w:szCs w:val="20"/>
              </w:rPr>
              <w:t>13</w:t>
            </w:r>
          </w:p>
        </w:tc>
        <w:tc>
          <w:tcPr>
            <w:tcW w:w="1802" w:type="pct"/>
            <w:vAlign w:val="center"/>
          </w:tcPr>
          <w:p w14:paraId="7272936F">
            <w:pPr>
              <w:autoSpaceDE w:val="0"/>
              <w:autoSpaceDN w:val="0"/>
              <w:adjustRightInd w:val="0"/>
              <w:spacing w:line="240" w:lineRule="auto"/>
              <w:jc w:val="center"/>
              <w:rPr>
                <w:rFonts w:cs="Times New Roman"/>
                <w:sz w:val="20"/>
                <w:szCs w:val="20"/>
              </w:rPr>
            </w:pPr>
            <w:r>
              <w:rPr>
                <w:sz w:val="20"/>
                <w:szCs w:val="20"/>
              </w:rPr>
              <w:t>5.18</w:t>
            </w:r>
            <w:r>
              <w:rPr>
                <w:rFonts w:cs="Times New Roman"/>
                <w:sz w:val="20"/>
                <w:szCs w:val="20"/>
              </w:rPr>
              <w:t>/9</w:t>
            </w:r>
          </w:p>
        </w:tc>
        <w:tc>
          <w:tcPr>
            <w:tcW w:w="1502" w:type="pct"/>
            <w:vAlign w:val="center"/>
          </w:tcPr>
          <w:p w14:paraId="308F0C60">
            <w:pPr>
              <w:autoSpaceDE w:val="0"/>
              <w:autoSpaceDN w:val="0"/>
              <w:adjustRightInd w:val="0"/>
              <w:spacing w:line="240" w:lineRule="auto"/>
              <w:jc w:val="center"/>
              <w:rPr>
                <w:rFonts w:cs="Times New Roman"/>
                <w:color w:val="FFFFFF" w:themeColor="background1"/>
                <w:sz w:val="20"/>
                <w:szCs w:val="20"/>
                <w14:textFill>
                  <w14:solidFill>
                    <w14:schemeClr w14:val="bg1"/>
                  </w14:solidFill>
                </w14:textFill>
              </w:rPr>
            </w:pPr>
            <w:r>
              <w:rPr>
                <w:sz w:val="20"/>
                <w:szCs w:val="20"/>
              </w:rPr>
              <w:t>4.7</w:t>
            </w:r>
            <w:r>
              <w:rPr>
                <w:rFonts w:cs="Times New Roman"/>
                <w:sz w:val="20"/>
                <w:szCs w:val="20"/>
              </w:rPr>
              <w:t>/5</w:t>
            </w:r>
          </w:p>
        </w:tc>
      </w:tr>
    </w:tbl>
    <w:p w14:paraId="7178790B">
      <w:pPr>
        <w:rPr>
          <w:sz w:val="20"/>
          <w:szCs w:val="20"/>
        </w:rPr>
      </w:pPr>
    </w:p>
    <w:p w14:paraId="1943B05A">
      <w:pPr>
        <w:rPr>
          <w:rFonts w:cs="Times New Roman"/>
          <w:b/>
          <w:bCs/>
          <w:i/>
          <w:iCs/>
          <w:sz w:val="20"/>
          <w:szCs w:val="20"/>
        </w:rPr>
      </w:pPr>
      <w:r>
        <w:rPr>
          <w:rFonts w:cs="Times New Roman"/>
          <w:b/>
          <w:bCs/>
          <w:i/>
          <w:iCs/>
          <w:sz w:val="20"/>
          <w:szCs w:val="20"/>
          <w:u w:val="single"/>
        </w:rPr>
        <w:t>Observation 5</w:t>
      </w:r>
      <w:r>
        <w:rPr>
          <w:rFonts w:hint="eastAsia" w:cs="Times New Roman"/>
          <w:b/>
          <w:bCs/>
          <w:i/>
          <w:iCs/>
          <w:sz w:val="20"/>
          <w:szCs w:val="20"/>
        </w:rPr>
        <w:t>：</w:t>
      </w:r>
      <w:r>
        <w:rPr>
          <w:rFonts w:cs="Times New Roman"/>
          <w:i/>
          <w:iCs/>
          <w:sz w:val="20"/>
          <w:szCs w:val="20"/>
        </w:rPr>
        <w:t>The mean value of the KF increases significantly with increasing frequency, and the variance of the KF shows a trend of decreasing with increasing frequency.</w:t>
      </w:r>
    </w:p>
    <w:p w14:paraId="54D129E9">
      <w:pPr>
        <w:rPr>
          <w:rFonts w:cs="Times New Roman"/>
          <w:b/>
          <w:bCs/>
          <w:i/>
          <w:iCs/>
          <w:sz w:val="20"/>
          <w:szCs w:val="20"/>
          <w:u w:val="single"/>
        </w:rPr>
      </w:pPr>
    </w:p>
    <w:p w14:paraId="7741B8D7">
      <w:pPr>
        <w:rPr>
          <w:rFonts w:cs="Times New Roman"/>
          <w:i/>
          <w:iCs/>
          <w:sz w:val="20"/>
          <w:szCs w:val="20"/>
        </w:rPr>
      </w:pPr>
      <w:r>
        <w:rPr>
          <w:rFonts w:hint="eastAsia" w:cs="Times New Roman"/>
          <w:b/>
          <w:bCs/>
          <w:i/>
          <w:iCs/>
          <w:sz w:val="20"/>
          <w:szCs w:val="20"/>
          <w:u w:val="single"/>
        </w:rPr>
        <w:t xml:space="preserve">Proposal </w:t>
      </w:r>
      <w:r>
        <w:rPr>
          <w:rFonts w:cs="Times New Roman"/>
          <w:b/>
          <w:bCs/>
          <w:i/>
          <w:iCs/>
          <w:sz w:val="20"/>
          <w:szCs w:val="20"/>
          <w:u w:val="single"/>
        </w:rPr>
        <w:t>5</w:t>
      </w:r>
      <w:r>
        <w:rPr>
          <w:rFonts w:hint="eastAsia" w:cs="Times New Roman"/>
          <w:i/>
          <w:iCs/>
          <w:sz w:val="20"/>
          <w:szCs w:val="20"/>
        </w:rPr>
        <w:t xml:space="preserve">: </w:t>
      </w:r>
      <w:r>
        <w:rPr>
          <w:rFonts w:cs="Times New Roman"/>
          <w:i/>
          <w:iCs/>
          <w:sz w:val="20"/>
          <w:szCs w:val="20"/>
        </w:rPr>
        <w:t xml:space="preserve">The mean value of the KF needs to be modeled with frequency-dependent parameters, and the KF mean values </w:t>
      </w:r>
      <w:r>
        <w:rPr>
          <w:rFonts w:hint="eastAsia" w:cs="Times New Roman"/>
          <w:i/>
          <w:iCs/>
          <w:sz w:val="20"/>
          <w:szCs w:val="20"/>
        </w:rPr>
        <w:t>ne</w:t>
      </w:r>
      <w:r>
        <w:rPr>
          <w:rFonts w:cs="Times New Roman"/>
          <w:i/>
          <w:iCs/>
          <w:sz w:val="20"/>
          <w:szCs w:val="20"/>
        </w:rPr>
        <w:t>ed to be adjusted based on the measurement results.</w:t>
      </w:r>
    </w:p>
    <w:p w14:paraId="68EEA22C">
      <w:pPr>
        <w:rPr>
          <w:rFonts w:cs="Times New Roman"/>
          <w:i/>
          <w:iCs/>
          <w:sz w:val="20"/>
          <w:szCs w:val="20"/>
        </w:rPr>
      </w:pPr>
    </w:p>
    <w:p w14:paraId="431AC495">
      <w:pPr>
        <w:rPr>
          <w:rFonts w:hint="default" w:ascii="Times New Roman Regular" w:hAnsi="Times New Roman Regular" w:cs="Times New Roman Regular"/>
        </w:rPr>
      </w:pPr>
      <w:r>
        <w:rPr>
          <w:rFonts w:hint="default" w:ascii="Times New Roman Regular" w:hAnsi="Times New Roman Regular" w:cs="Times New Roman Regular"/>
        </w:rPr>
        <w:t>2.2.6 Relative arrival angle</w:t>
      </w:r>
    </w:p>
    <w:p w14:paraId="3094B605">
      <w:pPr>
        <w:ind w:firstLine="200" w:firstLineChars="100"/>
        <w:rPr>
          <w:rFonts w:cs="Times New Roman"/>
          <w:sz w:val="20"/>
          <w:szCs w:val="20"/>
        </w:rPr>
      </w:pPr>
      <w:r>
        <w:rPr>
          <w:rFonts w:hint="eastAsia" w:cs="Times New Roman"/>
          <w:sz w:val="20"/>
          <w:szCs w:val="20"/>
        </w:rPr>
        <w:t>T</w:t>
      </w:r>
      <w:r>
        <w:rPr>
          <w:rFonts w:cs="Times New Roman"/>
          <w:sz w:val="20"/>
          <w:szCs w:val="20"/>
        </w:rPr>
        <w:t xml:space="preserve">he relative azimuth angles of arrival (AoA) of the cluster is the cluster's AoA minus the average AoA. The probability density function (PDF) of the relative AoA </w:t>
      </w:r>
      <w:r>
        <w:rPr>
          <w:rFonts w:hint="eastAsia" w:cs="Times New Roman"/>
          <w:sz w:val="20"/>
          <w:szCs w:val="20"/>
        </w:rPr>
        <w:t>at</w:t>
      </w:r>
      <w:r>
        <w:rPr>
          <w:rFonts w:cs="Times New Roman"/>
          <w:sz w:val="20"/>
          <w:szCs w:val="20"/>
        </w:rPr>
        <w:t xml:space="preserve"> different frequency bands is shown in </w:t>
      </w:r>
      <w:r>
        <w:rPr>
          <w:rFonts w:cs="Times New Roman"/>
          <w:sz w:val="20"/>
          <w:szCs w:val="20"/>
        </w:rPr>
        <w:fldChar w:fldCharType="begin"/>
      </w:r>
      <w:r>
        <w:rPr>
          <w:rFonts w:cs="Times New Roman"/>
          <w:sz w:val="20"/>
          <w:szCs w:val="20"/>
        </w:rPr>
        <w:instrText xml:space="preserve"> REF _Ref177656947 \h  \* MERGEFORMAT </w:instrText>
      </w:r>
      <w:r>
        <w:rPr>
          <w:rFonts w:cs="Times New Roman"/>
          <w:sz w:val="20"/>
          <w:szCs w:val="20"/>
        </w:rPr>
        <w:fldChar w:fldCharType="separate"/>
      </w:r>
      <w:r>
        <w:rPr>
          <w:sz w:val="20"/>
          <w:szCs w:val="20"/>
        </w:rPr>
        <w:t>Fig. 9</w:t>
      </w:r>
      <w:r>
        <w:rPr>
          <w:rFonts w:cs="Times New Roman"/>
          <w:sz w:val="20"/>
          <w:szCs w:val="20"/>
        </w:rPr>
        <w:fldChar w:fldCharType="end"/>
      </w:r>
      <w:r>
        <w:rPr>
          <w:rFonts w:cs="Times New Roman"/>
          <w:sz w:val="20"/>
          <w:szCs w:val="20"/>
        </w:rPr>
        <w:t xml:space="preserve">. It can be observed that the relative AoAs of the clusters fit well with a Laplacian distribution. Similarly, the PDF of the relative elevation angles of arrival (EoA) at different frequency bands is shown in </w:t>
      </w:r>
      <w:r>
        <w:rPr>
          <w:rFonts w:cs="Times New Roman"/>
          <w:sz w:val="20"/>
          <w:szCs w:val="20"/>
        </w:rPr>
        <w:fldChar w:fldCharType="begin"/>
      </w:r>
      <w:r>
        <w:rPr>
          <w:rFonts w:cs="Times New Roman"/>
          <w:sz w:val="20"/>
          <w:szCs w:val="20"/>
        </w:rPr>
        <w:instrText xml:space="preserve"> REF _Ref177657569 \h  \* MERGEFORMAT </w:instrText>
      </w:r>
      <w:r>
        <w:rPr>
          <w:rFonts w:cs="Times New Roman"/>
          <w:sz w:val="20"/>
          <w:szCs w:val="20"/>
        </w:rPr>
        <w:fldChar w:fldCharType="separate"/>
      </w:r>
      <w:r>
        <w:rPr>
          <w:sz w:val="20"/>
          <w:szCs w:val="20"/>
        </w:rPr>
        <w:t>Fig. 10</w:t>
      </w:r>
      <w:r>
        <w:rPr>
          <w:rFonts w:cs="Times New Roman"/>
          <w:sz w:val="20"/>
          <w:szCs w:val="20"/>
        </w:rPr>
        <w:fldChar w:fldCharType="end"/>
      </w:r>
      <w:r>
        <w:rPr>
          <w:rFonts w:cs="Times New Roman"/>
          <w:sz w:val="20"/>
          <w:szCs w:val="20"/>
        </w:rPr>
        <w:t xml:space="preserve">. It can be observed that the relative EoAs of the clusters also fit well with a Laplacian distribution. Additionally, it is noted that for all measured frequency bands, the relative EoAs exhibit secondary peaks near -50° and 40°. The EoAs near -50° primarily originate from ground reflections, whereas those near 40° mainly result from reflections off buildings in the environment. </w:t>
      </w:r>
    </w:p>
    <w:p w14:paraId="5C5135AA">
      <w:pPr>
        <w:rPr>
          <w:rFonts w:cs="Times New Roman"/>
          <w:i/>
          <w:iCs/>
          <w:sz w:val="20"/>
          <w:szCs w:val="20"/>
        </w:rPr>
      </w:pPr>
      <w:r>
        <w:rPr>
          <w:rFonts w:cs="Times New Roman"/>
          <w:i/>
          <w:iCs/>
          <w:sz w:val="20"/>
          <w:szCs w:val="20"/>
        </w:rPr>
        <w:drawing>
          <wp:inline distT="0" distB="0" distL="0" distR="0">
            <wp:extent cx="2627630" cy="2048510"/>
            <wp:effectExtent l="0" t="0" r="1270"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628000" cy="2049008"/>
                    </a:xfrm>
                    <a:prstGeom prst="rect">
                      <a:avLst/>
                    </a:prstGeom>
                    <a:noFill/>
                    <a:ln>
                      <a:noFill/>
                    </a:ln>
                  </pic:spPr>
                </pic:pic>
              </a:graphicData>
            </a:graphic>
          </wp:inline>
        </w:drawing>
      </w:r>
      <w:r>
        <w:rPr>
          <w:rFonts w:cs="Times New Roman"/>
          <w:i/>
          <w:iCs/>
          <w:sz w:val="20"/>
          <w:szCs w:val="20"/>
        </w:rPr>
        <w:drawing>
          <wp:inline distT="0" distB="0" distL="0" distR="0">
            <wp:extent cx="2627630" cy="2048510"/>
            <wp:effectExtent l="0" t="0" r="1270" b="889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628000" cy="2049008"/>
                    </a:xfrm>
                    <a:prstGeom prst="rect">
                      <a:avLst/>
                    </a:prstGeom>
                    <a:noFill/>
                    <a:ln>
                      <a:noFill/>
                    </a:ln>
                  </pic:spPr>
                </pic:pic>
              </a:graphicData>
            </a:graphic>
          </wp:inline>
        </w:drawing>
      </w:r>
    </w:p>
    <w:p w14:paraId="504EFE80">
      <w:pPr>
        <w:jc w:val="center"/>
        <w:rPr>
          <w:rFonts w:cs="Times New Roman"/>
          <w:i/>
          <w:iCs/>
          <w:sz w:val="20"/>
          <w:szCs w:val="20"/>
        </w:rPr>
      </w:pPr>
      <w:r>
        <w:rPr>
          <w:rFonts w:hint="eastAsia" w:cs="Times New Roman"/>
          <w:sz w:val="20"/>
          <w:szCs w:val="20"/>
        </w:rPr>
        <w:t>(</w:t>
      </w:r>
      <w:r>
        <w:rPr>
          <w:rFonts w:cs="Times New Roman"/>
          <w:sz w:val="20"/>
          <w:szCs w:val="20"/>
        </w:rPr>
        <w:t>a)                                    (b)</w:t>
      </w:r>
    </w:p>
    <w:p w14:paraId="1AA76983">
      <w:pPr>
        <w:jc w:val="center"/>
        <w:rPr>
          <w:rFonts w:cs="Times New Roman"/>
          <w:sz w:val="20"/>
          <w:szCs w:val="20"/>
        </w:rPr>
      </w:pPr>
      <w:r>
        <w:rPr>
          <w:rFonts w:cs="Times New Roman"/>
          <w:sz w:val="20"/>
          <w:szCs w:val="20"/>
        </w:rPr>
        <w:drawing>
          <wp:inline distT="0" distB="0" distL="0" distR="0">
            <wp:extent cx="2627630" cy="2048510"/>
            <wp:effectExtent l="0" t="0" r="1270"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628000" cy="2049008"/>
                    </a:xfrm>
                    <a:prstGeom prst="rect">
                      <a:avLst/>
                    </a:prstGeom>
                    <a:noFill/>
                    <a:ln>
                      <a:noFill/>
                    </a:ln>
                  </pic:spPr>
                </pic:pic>
              </a:graphicData>
            </a:graphic>
          </wp:inline>
        </w:drawing>
      </w:r>
    </w:p>
    <w:p w14:paraId="1D42E705">
      <w:pPr>
        <w:keepNext/>
        <w:jc w:val="center"/>
        <w:rPr>
          <w:rFonts w:cs="Times New Roman"/>
          <w:sz w:val="20"/>
          <w:szCs w:val="20"/>
        </w:rPr>
      </w:pPr>
      <w:r>
        <w:rPr>
          <w:rFonts w:hint="eastAsia" w:cs="Times New Roman"/>
          <w:sz w:val="20"/>
          <w:szCs w:val="20"/>
        </w:rPr>
        <w:t>(</w:t>
      </w:r>
      <w:r>
        <w:rPr>
          <w:rFonts w:cs="Times New Roman"/>
          <w:sz w:val="20"/>
          <w:szCs w:val="20"/>
        </w:rPr>
        <w:t>c)</w:t>
      </w:r>
    </w:p>
    <w:p w14:paraId="05028590">
      <w:pPr>
        <w:pStyle w:val="5"/>
        <w:jc w:val="center"/>
      </w:pPr>
      <w:bookmarkStart w:id="17" w:name="_Ref177656947"/>
      <w:r>
        <w:t xml:space="preserve">Fig. </w:t>
      </w:r>
      <w:r>
        <w:fldChar w:fldCharType="begin"/>
      </w:r>
      <w:r>
        <w:instrText xml:space="preserve"> SEQ Fig. \* ARABIC </w:instrText>
      </w:r>
      <w:r>
        <w:fldChar w:fldCharType="separate"/>
      </w:r>
      <w:r>
        <w:t>9</w:t>
      </w:r>
      <w:r>
        <w:fldChar w:fldCharType="end"/>
      </w:r>
      <w:bookmarkEnd w:id="17"/>
      <w:r>
        <w:t xml:space="preserve">. </w:t>
      </w:r>
      <w:r>
        <w:rPr>
          <w:rFonts w:hint="eastAsia"/>
        </w:rPr>
        <w:t>R</w:t>
      </w:r>
      <w:r>
        <w:t>elative AoA</w:t>
      </w:r>
      <w:r>
        <w:rPr>
          <w:rFonts w:hint="eastAsia"/>
        </w:rPr>
        <w:t>s</w:t>
      </w:r>
      <w:r>
        <w:t xml:space="preserve"> of cluster at (a) 7 GHz</w:t>
      </w:r>
      <w:r>
        <w:rPr>
          <w:rFonts w:hint="eastAsia"/>
        </w:rPr>
        <w:t>,</w:t>
      </w:r>
      <w:r>
        <w:t xml:space="preserve"> (b) 10 GHz</w:t>
      </w:r>
      <w:r>
        <w:rPr>
          <w:rFonts w:hint="eastAsia"/>
        </w:rPr>
        <w:t>,</w:t>
      </w:r>
      <w:r>
        <w:t xml:space="preserve"> and (c) 13 GHz</w:t>
      </w:r>
      <w:r>
        <w:rPr>
          <w:rFonts w:hint="eastAsia"/>
        </w:rPr>
        <w:t>.</w:t>
      </w:r>
    </w:p>
    <w:p w14:paraId="5649EF4A">
      <w:pPr>
        <w:rPr>
          <w:sz w:val="20"/>
          <w:szCs w:val="20"/>
        </w:rPr>
      </w:pPr>
    </w:p>
    <w:p w14:paraId="4B3D331C">
      <w:pPr>
        <w:jc w:val="center"/>
        <w:rPr>
          <w:sz w:val="20"/>
          <w:szCs w:val="20"/>
        </w:rPr>
      </w:pPr>
      <w:r>
        <w:rPr>
          <w:sz w:val="20"/>
          <w:szCs w:val="20"/>
        </w:rPr>
        <w:drawing>
          <wp:inline distT="0" distB="0" distL="0" distR="0">
            <wp:extent cx="2627630" cy="2081530"/>
            <wp:effectExtent l="0" t="0" r="127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628000" cy="2081968"/>
                    </a:xfrm>
                    <a:prstGeom prst="rect">
                      <a:avLst/>
                    </a:prstGeom>
                    <a:noFill/>
                    <a:ln>
                      <a:noFill/>
                    </a:ln>
                  </pic:spPr>
                </pic:pic>
              </a:graphicData>
            </a:graphic>
          </wp:inline>
        </w:drawing>
      </w:r>
      <w:r>
        <w:rPr>
          <w:sz w:val="20"/>
          <w:szCs w:val="20"/>
        </w:rPr>
        <w:drawing>
          <wp:inline distT="0" distB="0" distL="0" distR="0">
            <wp:extent cx="2627630" cy="2081530"/>
            <wp:effectExtent l="0" t="0" r="127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628000" cy="2081968"/>
                    </a:xfrm>
                    <a:prstGeom prst="rect">
                      <a:avLst/>
                    </a:prstGeom>
                    <a:noFill/>
                    <a:ln>
                      <a:noFill/>
                    </a:ln>
                  </pic:spPr>
                </pic:pic>
              </a:graphicData>
            </a:graphic>
          </wp:inline>
        </w:drawing>
      </w:r>
    </w:p>
    <w:p w14:paraId="7B09FBC0">
      <w:pPr>
        <w:jc w:val="center"/>
        <w:rPr>
          <w:sz w:val="20"/>
          <w:szCs w:val="20"/>
        </w:rPr>
      </w:pPr>
      <w:r>
        <w:rPr>
          <w:rFonts w:hint="eastAsia" w:cs="Times New Roman"/>
          <w:sz w:val="20"/>
          <w:szCs w:val="20"/>
        </w:rPr>
        <w:t>(</w:t>
      </w:r>
      <w:r>
        <w:rPr>
          <w:rFonts w:cs="Times New Roman"/>
          <w:sz w:val="20"/>
          <w:szCs w:val="20"/>
        </w:rPr>
        <w:t>a)                                    (b)</w:t>
      </w:r>
    </w:p>
    <w:p w14:paraId="64812C89">
      <w:pPr>
        <w:jc w:val="center"/>
        <w:rPr>
          <w:rFonts w:cs="Times New Roman"/>
          <w:sz w:val="20"/>
          <w:szCs w:val="20"/>
        </w:rPr>
      </w:pPr>
      <w:r>
        <w:rPr>
          <w:rFonts w:cs="Times New Roman"/>
          <w:sz w:val="20"/>
          <w:szCs w:val="20"/>
        </w:rPr>
        <w:drawing>
          <wp:inline distT="0" distB="0" distL="0" distR="0">
            <wp:extent cx="2627630" cy="2081530"/>
            <wp:effectExtent l="0" t="0" r="127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628000" cy="2081968"/>
                    </a:xfrm>
                    <a:prstGeom prst="rect">
                      <a:avLst/>
                    </a:prstGeom>
                    <a:noFill/>
                    <a:ln>
                      <a:noFill/>
                    </a:ln>
                  </pic:spPr>
                </pic:pic>
              </a:graphicData>
            </a:graphic>
          </wp:inline>
        </w:drawing>
      </w:r>
    </w:p>
    <w:p w14:paraId="500D14E6">
      <w:pPr>
        <w:keepNext/>
        <w:jc w:val="center"/>
        <w:rPr>
          <w:rFonts w:cs="Times New Roman"/>
          <w:sz w:val="20"/>
          <w:szCs w:val="20"/>
        </w:rPr>
      </w:pPr>
      <w:r>
        <w:rPr>
          <w:rFonts w:hint="eastAsia" w:cs="Times New Roman"/>
          <w:sz w:val="20"/>
          <w:szCs w:val="20"/>
        </w:rPr>
        <w:t>(</w:t>
      </w:r>
      <w:r>
        <w:rPr>
          <w:rFonts w:cs="Times New Roman"/>
          <w:sz w:val="20"/>
          <w:szCs w:val="20"/>
        </w:rPr>
        <w:t>c)</w:t>
      </w:r>
    </w:p>
    <w:p w14:paraId="2CF55D84">
      <w:pPr>
        <w:pStyle w:val="5"/>
        <w:jc w:val="center"/>
      </w:pPr>
      <w:bookmarkStart w:id="18" w:name="_Ref177657569"/>
      <w:r>
        <w:t xml:space="preserve">Fig. </w:t>
      </w:r>
      <w:r>
        <w:fldChar w:fldCharType="begin"/>
      </w:r>
      <w:r>
        <w:instrText xml:space="preserve"> SEQ Fig. \* ARABIC </w:instrText>
      </w:r>
      <w:r>
        <w:fldChar w:fldCharType="separate"/>
      </w:r>
      <w:r>
        <w:t>10</w:t>
      </w:r>
      <w:r>
        <w:fldChar w:fldCharType="end"/>
      </w:r>
      <w:bookmarkEnd w:id="18"/>
      <w:r>
        <w:t>. Relative EoAs of cluster at (a) 7 GHz, (b) 10 GHz, and (c) 13 GHz.</w:t>
      </w:r>
    </w:p>
    <w:p w14:paraId="66FC8A27">
      <w:pPr>
        <w:rPr>
          <w:sz w:val="20"/>
          <w:szCs w:val="20"/>
        </w:rPr>
      </w:pPr>
    </w:p>
    <w:p w14:paraId="0DE820FC">
      <w:pPr>
        <w:rPr>
          <w:rFonts w:cs="Times New Roman"/>
          <w:b/>
          <w:bCs/>
          <w:i/>
          <w:iCs/>
          <w:sz w:val="20"/>
          <w:szCs w:val="20"/>
        </w:rPr>
      </w:pPr>
      <w:r>
        <w:rPr>
          <w:rFonts w:cs="Times New Roman"/>
          <w:b/>
          <w:bCs/>
          <w:i/>
          <w:iCs/>
          <w:sz w:val="20"/>
          <w:szCs w:val="20"/>
          <w:u w:val="single"/>
        </w:rPr>
        <w:t>Observation 6</w:t>
      </w:r>
      <w:r>
        <w:rPr>
          <w:rFonts w:hint="eastAsia" w:cs="Times New Roman"/>
          <w:b/>
          <w:bCs/>
          <w:i/>
          <w:iCs/>
          <w:sz w:val="20"/>
          <w:szCs w:val="20"/>
        </w:rPr>
        <w:t>：</w:t>
      </w:r>
      <w:r>
        <w:rPr>
          <w:rFonts w:cs="Times New Roman"/>
          <w:i/>
          <w:iCs/>
          <w:sz w:val="20"/>
          <w:szCs w:val="20"/>
        </w:rPr>
        <w:t>The relative AoA and EoA of the clusters both follow a Laplacian distribution.</w:t>
      </w:r>
    </w:p>
    <w:p w14:paraId="15415F5E">
      <w:pPr>
        <w:rPr>
          <w:rFonts w:cs="Times New Roman"/>
          <w:b/>
          <w:bCs/>
          <w:i/>
          <w:iCs/>
          <w:sz w:val="20"/>
          <w:szCs w:val="20"/>
          <w:u w:val="single"/>
        </w:rPr>
      </w:pPr>
    </w:p>
    <w:p w14:paraId="1A25B70A">
      <w:pPr>
        <w:rPr>
          <w:rFonts w:cs="Times New Roman"/>
          <w:i/>
          <w:iCs/>
          <w:sz w:val="20"/>
          <w:szCs w:val="20"/>
        </w:rPr>
      </w:pPr>
      <w:r>
        <w:rPr>
          <w:rFonts w:hint="eastAsia" w:cs="Times New Roman"/>
          <w:b/>
          <w:bCs/>
          <w:i/>
          <w:iCs/>
          <w:sz w:val="20"/>
          <w:szCs w:val="20"/>
          <w:u w:val="single"/>
        </w:rPr>
        <w:t>Propo</w:t>
      </w:r>
      <w:bookmarkStart w:id="20" w:name="_GoBack"/>
      <w:bookmarkEnd w:id="20"/>
      <w:r>
        <w:rPr>
          <w:rFonts w:hint="eastAsia" w:cs="Times New Roman"/>
          <w:b/>
          <w:bCs/>
          <w:i/>
          <w:iCs/>
          <w:sz w:val="20"/>
          <w:szCs w:val="20"/>
          <w:u w:val="single"/>
        </w:rPr>
        <w:t xml:space="preserve">sal </w:t>
      </w:r>
      <w:r>
        <w:rPr>
          <w:rFonts w:cs="Times New Roman"/>
          <w:b/>
          <w:bCs/>
          <w:i/>
          <w:iCs/>
          <w:sz w:val="20"/>
          <w:szCs w:val="20"/>
          <w:u w:val="single"/>
        </w:rPr>
        <w:t>6</w:t>
      </w:r>
      <w:r>
        <w:rPr>
          <w:rFonts w:hint="eastAsia" w:cs="Times New Roman"/>
          <w:i/>
          <w:iCs/>
          <w:sz w:val="20"/>
          <w:szCs w:val="20"/>
        </w:rPr>
        <w:t xml:space="preserve">: </w:t>
      </w:r>
      <w:r>
        <w:rPr>
          <w:rFonts w:cs="Times New Roman"/>
          <w:i/>
          <w:iCs/>
          <w:sz w:val="20"/>
          <w:szCs w:val="20"/>
        </w:rPr>
        <w:t>In the 3GPP TR 38.901, the relative EoA of clusters is modeled as a truncated Gaussian distribution. However, the measurement results indicate that the relative EoAs of clusters fit well with a Laplacian distribution.</w:t>
      </w:r>
    </w:p>
    <w:p w14:paraId="18B998C5"/>
    <w:p w14:paraId="52B744ED">
      <w:pPr>
        <w:rPr>
          <w:rFonts w:hint="default" w:ascii="Times New Roman Regular" w:hAnsi="Times New Roman Regular" w:cs="Times New Roman Regular"/>
        </w:rPr>
      </w:pPr>
      <w:r>
        <w:rPr>
          <w:rFonts w:hint="default" w:ascii="Times New Roman Regular" w:hAnsi="Times New Roman Regular" w:cs="Times New Roman Regular"/>
        </w:rPr>
        <w:t>2.2.7 Correlation distance</w:t>
      </w:r>
    </w:p>
    <w:p w14:paraId="089B7F69">
      <w:pPr>
        <w:ind w:firstLine="200" w:firstLineChars="100"/>
        <w:rPr>
          <w:rFonts w:cs="Times New Roman"/>
          <w:sz w:val="20"/>
          <w:szCs w:val="20"/>
        </w:rPr>
      </w:pPr>
      <w:r>
        <w:rPr>
          <w:rFonts w:cs="Times New Roman"/>
          <w:sz w:val="20"/>
          <w:szCs w:val="20"/>
        </w:rPr>
        <w:t xml:space="preserve">The autocorrelation functions of DS and KF at different frequency bands are shown in </w:t>
      </w:r>
      <w:r>
        <w:rPr>
          <w:rFonts w:cs="Times New Roman"/>
          <w:sz w:val="20"/>
          <w:szCs w:val="20"/>
        </w:rPr>
        <w:fldChar w:fldCharType="begin"/>
      </w:r>
      <w:r>
        <w:rPr>
          <w:rFonts w:cs="Times New Roman"/>
          <w:sz w:val="20"/>
          <w:szCs w:val="20"/>
        </w:rPr>
        <w:instrText xml:space="preserve"> REF _Ref177658633 \h  \* MERGEFORMAT </w:instrText>
      </w:r>
      <w:r>
        <w:rPr>
          <w:rFonts w:cs="Times New Roman"/>
          <w:sz w:val="20"/>
          <w:szCs w:val="20"/>
        </w:rPr>
        <w:fldChar w:fldCharType="separate"/>
      </w:r>
      <w:r>
        <w:rPr>
          <w:sz w:val="20"/>
          <w:szCs w:val="20"/>
        </w:rPr>
        <w:t>Fig. 11</w:t>
      </w:r>
      <w:r>
        <w:rPr>
          <w:rFonts w:cs="Times New Roman"/>
          <w:sz w:val="20"/>
          <w:szCs w:val="20"/>
        </w:rPr>
        <w:fldChar w:fldCharType="end"/>
      </w:r>
      <w:r>
        <w:rPr>
          <w:rFonts w:cs="Times New Roman"/>
          <w:sz w:val="20"/>
          <w:szCs w:val="20"/>
        </w:rPr>
        <w:t xml:space="preserve">., and an exponential decay model is used for fitting. It can be observed that, at the same distance interval, the autocorrelation coefficient of KF decreases with increasing frequency, indicating shorter decorrelation distances for KF. The autocorrelation coefficients of DS do not show a clear frequency dependence. The decorrelation distances of DS and KF for different frequency bands compared with the 3GPP model are provided in </w:t>
      </w:r>
      <w:r>
        <w:rPr>
          <w:rFonts w:cs="Times New Roman"/>
          <w:sz w:val="20"/>
          <w:szCs w:val="20"/>
        </w:rPr>
        <w:fldChar w:fldCharType="begin"/>
      </w:r>
      <w:r>
        <w:rPr>
          <w:rFonts w:cs="Times New Roman"/>
          <w:sz w:val="20"/>
          <w:szCs w:val="20"/>
        </w:rPr>
        <w:instrText xml:space="preserve"> REF _Ref177653513 \h  \* MERGEFORMAT </w:instrText>
      </w:r>
      <w:r>
        <w:rPr>
          <w:rFonts w:cs="Times New Roman"/>
          <w:sz w:val="20"/>
          <w:szCs w:val="20"/>
        </w:rPr>
        <w:fldChar w:fldCharType="separate"/>
      </w:r>
      <w:r>
        <w:rPr>
          <w:sz w:val="20"/>
          <w:szCs w:val="20"/>
        </w:rPr>
        <w:t>Table 5</w:t>
      </w:r>
      <w:r>
        <w:rPr>
          <w:rFonts w:cs="Times New Roman"/>
          <w:sz w:val="20"/>
          <w:szCs w:val="20"/>
        </w:rPr>
        <w:fldChar w:fldCharType="end"/>
      </w:r>
      <w:r>
        <w:rPr>
          <w:rFonts w:cs="Times New Roman"/>
          <w:sz w:val="20"/>
          <w:szCs w:val="20"/>
        </w:rPr>
        <w:t>.</w:t>
      </w:r>
    </w:p>
    <w:p w14:paraId="746060A9">
      <w:pPr>
        <w:rPr>
          <w:rFonts w:cs="Times New Roman"/>
          <w:sz w:val="20"/>
          <w:szCs w:val="20"/>
        </w:rPr>
      </w:pPr>
      <w:r>
        <w:rPr>
          <w:rFonts w:cs="Times New Roman"/>
          <w:sz w:val="20"/>
          <w:szCs w:val="20"/>
        </w:rPr>
        <w:drawing>
          <wp:inline distT="0" distB="0" distL="0" distR="0">
            <wp:extent cx="2627630" cy="2134870"/>
            <wp:effectExtent l="0" t="0" r="127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628000" cy="2135475"/>
                    </a:xfrm>
                    <a:prstGeom prst="rect">
                      <a:avLst/>
                    </a:prstGeom>
                    <a:noFill/>
                    <a:ln>
                      <a:noFill/>
                    </a:ln>
                  </pic:spPr>
                </pic:pic>
              </a:graphicData>
            </a:graphic>
          </wp:inline>
        </w:drawing>
      </w:r>
      <w:r>
        <w:rPr>
          <w:rFonts w:cs="Times New Roman"/>
          <w:sz w:val="20"/>
          <w:szCs w:val="20"/>
        </w:rPr>
        <w:drawing>
          <wp:inline distT="0" distB="0" distL="0" distR="0">
            <wp:extent cx="2627630" cy="2134870"/>
            <wp:effectExtent l="0" t="0" r="127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628000" cy="2135475"/>
                    </a:xfrm>
                    <a:prstGeom prst="rect">
                      <a:avLst/>
                    </a:prstGeom>
                    <a:noFill/>
                    <a:ln>
                      <a:noFill/>
                    </a:ln>
                  </pic:spPr>
                </pic:pic>
              </a:graphicData>
            </a:graphic>
          </wp:inline>
        </w:drawing>
      </w:r>
    </w:p>
    <w:p w14:paraId="6E3E737B">
      <w:pPr>
        <w:keepNext/>
        <w:jc w:val="center"/>
        <w:rPr>
          <w:rFonts w:cs="Times New Roman"/>
          <w:sz w:val="20"/>
          <w:szCs w:val="20"/>
        </w:rPr>
      </w:pPr>
      <w:r>
        <w:rPr>
          <w:rFonts w:hint="eastAsia" w:cs="Times New Roman"/>
          <w:sz w:val="20"/>
          <w:szCs w:val="20"/>
        </w:rPr>
        <w:t>(</w:t>
      </w:r>
      <w:r>
        <w:rPr>
          <w:rFonts w:cs="Times New Roman"/>
          <w:sz w:val="20"/>
          <w:szCs w:val="20"/>
        </w:rPr>
        <w:t>a)                                       (b)</w:t>
      </w:r>
    </w:p>
    <w:p w14:paraId="25135114">
      <w:pPr>
        <w:pStyle w:val="5"/>
        <w:jc w:val="center"/>
      </w:pPr>
      <w:bookmarkStart w:id="19" w:name="_Ref177658633"/>
      <w:r>
        <w:t xml:space="preserve">Fig. </w:t>
      </w:r>
      <w:r>
        <w:fldChar w:fldCharType="begin"/>
      </w:r>
      <w:r>
        <w:instrText xml:space="preserve"> SEQ Fig. \* ARABIC </w:instrText>
      </w:r>
      <w:r>
        <w:fldChar w:fldCharType="separate"/>
      </w:r>
      <w:r>
        <w:t>11</w:t>
      </w:r>
      <w:r>
        <w:fldChar w:fldCharType="end"/>
      </w:r>
      <w:bookmarkEnd w:id="19"/>
      <w:r>
        <w:t>. Correlation distance at different frequency bands of (a) DS and (b) KF.</w:t>
      </w:r>
    </w:p>
    <w:p w14:paraId="1C7F071D">
      <w:pPr>
        <w:rPr>
          <w:sz w:val="20"/>
          <w:szCs w:val="20"/>
        </w:rPr>
      </w:pPr>
    </w:p>
    <w:p w14:paraId="28D7CA22">
      <w:pPr>
        <w:rPr>
          <w:sz w:val="20"/>
          <w:szCs w:val="20"/>
        </w:rPr>
      </w:pPr>
    </w:p>
    <w:p w14:paraId="2ED8D2B8">
      <w:pPr>
        <w:pStyle w:val="5"/>
        <w:jc w:val="center"/>
      </w:pPr>
      <w:r>
        <w:t xml:space="preserve">Table </w:t>
      </w:r>
      <w:r>
        <w:fldChar w:fldCharType="begin"/>
      </w:r>
      <w:r>
        <w:instrText xml:space="preserve"> SEQ Table \* ARABIC </w:instrText>
      </w:r>
      <w:r>
        <w:fldChar w:fldCharType="separate"/>
      </w:r>
      <w:r>
        <w:t>7</w:t>
      </w:r>
      <w:r>
        <w:fldChar w:fldCharType="end"/>
      </w:r>
      <w:r>
        <w:t>. DS and KF correlation distance at different frequency bands [1].</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38"/>
        <w:gridCol w:w="3971"/>
        <w:gridCol w:w="3845"/>
      </w:tblGrid>
      <w:tr w14:paraId="4F984849">
        <w:trPr>
          <w:trHeight w:val="723" w:hRule="atLeast"/>
        </w:trPr>
        <w:tc>
          <w:tcPr>
            <w:tcW w:w="1034" w:type="pct"/>
            <w:vAlign w:val="center"/>
          </w:tcPr>
          <w:p w14:paraId="5DBAF11A">
            <w:pPr>
              <w:autoSpaceDE w:val="0"/>
              <w:autoSpaceDN w:val="0"/>
              <w:adjustRightInd w:val="0"/>
              <w:spacing w:line="240" w:lineRule="auto"/>
              <w:jc w:val="center"/>
              <w:rPr>
                <w:rFonts w:cs="Times New Roman"/>
                <w:sz w:val="20"/>
                <w:szCs w:val="20"/>
              </w:rPr>
            </w:pPr>
            <w:r>
              <w:rPr>
                <w:rFonts w:cs="Times New Roman"/>
                <w:sz w:val="20"/>
                <w:szCs w:val="20"/>
              </w:rPr>
              <w:t>Frequency</w:t>
            </w:r>
          </w:p>
          <w:p w14:paraId="2A8464BD">
            <w:pPr>
              <w:autoSpaceDE w:val="0"/>
              <w:autoSpaceDN w:val="0"/>
              <w:adjustRightInd w:val="0"/>
              <w:spacing w:line="240" w:lineRule="auto"/>
              <w:jc w:val="center"/>
              <w:rPr>
                <w:rFonts w:cs="Times New Roman"/>
                <w:sz w:val="20"/>
                <w:szCs w:val="20"/>
              </w:rPr>
            </w:pPr>
            <w:r>
              <w:rPr>
                <w:rFonts w:hint="eastAsia" w:cs="Times New Roman"/>
                <w:sz w:val="20"/>
                <w:szCs w:val="20"/>
              </w:rPr>
              <w:t>(</w:t>
            </w:r>
            <w:r>
              <w:rPr>
                <w:rFonts w:cs="Times New Roman"/>
                <w:sz w:val="20"/>
                <w:szCs w:val="20"/>
              </w:rPr>
              <w:t>GHz)</w:t>
            </w:r>
          </w:p>
        </w:tc>
        <w:tc>
          <w:tcPr>
            <w:tcW w:w="2015" w:type="pct"/>
            <w:vAlign w:val="center"/>
          </w:tcPr>
          <w:p w14:paraId="34196992">
            <w:pPr>
              <w:autoSpaceDE w:val="0"/>
              <w:autoSpaceDN w:val="0"/>
              <w:adjustRightInd w:val="0"/>
              <w:spacing w:line="240" w:lineRule="auto"/>
              <w:jc w:val="center"/>
              <w:rPr>
                <w:rFonts w:cs="Times New Roman"/>
                <w:sz w:val="20"/>
                <w:szCs w:val="20"/>
              </w:rPr>
            </w:pPr>
            <w:r>
              <w:rPr>
                <w:rFonts w:cs="Times New Roman"/>
                <w:sz w:val="20"/>
                <w:szCs w:val="20"/>
              </w:rPr>
              <w:t>DS Correlation distance (m)</w:t>
            </w:r>
          </w:p>
          <w:p w14:paraId="4DF3E7BF">
            <w:pPr>
              <w:autoSpaceDE w:val="0"/>
              <w:autoSpaceDN w:val="0"/>
              <w:adjustRightInd w:val="0"/>
              <w:spacing w:line="240" w:lineRule="auto"/>
              <w:jc w:val="center"/>
              <w:rPr>
                <w:rFonts w:cs="Times New Roman"/>
                <w:sz w:val="20"/>
                <w:szCs w:val="20"/>
              </w:rPr>
            </w:pPr>
            <w:r>
              <w:rPr>
                <w:rFonts w:cs="Times New Roman"/>
                <w:sz w:val="20"/>
                <w:szCs w:val="20"/>
              </w:rPr>
              <w:t>Measurements/3GPP</w:t>
            </w:r>
          </w:p>
        </w:tc>
        <w:tc>
          <w:tcPr>
            <w:tcW w:w="1951" w:type="pct"/>
            <w:vAlign w:val="center"/>
          </w:tcPr>
          <w:p w14:paraId="210E5ED5">
            <w:pPr>
              <w:autoSpaceDE w:val="0"/>
              <w:autoSpaceDN w:val="0"/>
              <w:adjustRightInd w:val="0"/>
              <w:spacing w:line="240" w:lineRule="auto"/>
              <w:jc w:val="center"/>
              <w:rPr>
                <w:rFonts w:cs="Times New Roman"/>
                <w:sz w:val="20"/>
                <w:szCs w:val="20"/>
              </w:rPr>
            </w:pPr>
            <w:r>
              <w:rPr>
                <w:rFonts w:cs="Times New Roman"/>
                <w:sz w:val="20"/>
                <w:szCs w:val="20"/>
              </w:rPr>
              <w:t>KF Correlation distance (m)</w:t>
            </w:r>
          </w:p>
          <w:p w14:paraId="3F58E00E">
            <w:pPr>
              <w:autoSpaceDE w:val="0"/>
              <w:autoSpaceDN w:val="0"/>
              <w:adjustRightInd w:val="0"/>
              <w:spacing w:line="240" w:lineRule="auto"/>
              <w:jc w:val="center"/>
              <w:rPr>
                <w:rFonts w:cs="Times New Roman"/>
                <w:sz w:val="20"/>
                <w:szCs w:val="20"/>
              </w:rPr>
            </w:pPr>
            <w:r>
              <w:rPr>
                <w:rFonts w:cs="Times New Roman"/>
                <w:sz w:val="20"/>
                <w:szCs w:val="20"/>
              </w:rPr>
              <w:t>Measurements/3GPP</w:t>
            </w:r>
          </w:p>
        </w:tc>
      </w:tr>
      <w:tr w14:paraId="06713AB4">
        <w:tc>
          <w:tcPr>
            <w:tcW w:w="1034" w:type="pct"/>
            <w:vAlign w:val="center"/>
          </w:tcPr>
          <w:p w14:paraId="2BD432C5">
            <w:pPr>
              <w:autoSpaceDE w:val="0"/>
              <w:autoSpaceDN w:val="0"/>
              <w:adjustRightInd w:val="0"/>
              <w:spacing w:line="240" w:lineRule="auto"/>
              <w:jc w:val="center"/>
              <w:rPr>
                <w:rFonts w:cs="Times New Roman"/>
                <w:sz w:val="20"/>
                <w:szCs w:val="20"/>
              </w:rPr>
            </w:pPr>
            <w:r>
              <w:rPr>
                <w:rFonts w:cs="Times New Roman"/>
                <w:sz w:val="20"/>
                <w:szCs w:val="20"/>
              </w:rPr>
              <w:t>7</w:t>
            </w:r>
          </w:p>
        </w:tc>
        <w:tc>
          <w:tcPr>
            <w:tcW w:w="2015" w:type="pct"/>
            <w:vAlign w:val="center"/>
          </w:tcPr>
          <w:p w14:paraId="1FBF1EE4">
            <w:pPr>
              <w:autoSpaceDE w:val="0"/>
              <w:autoSpaceDN w:val="0"/>
              <w:adjustRightInd w:val="0"/>
              <w:spacing w:line="240" w:lineRule="auto"/>
              <w:jc w:val="center"/>
              <w:rPr>
                <w:rFonts w:cs="Times New Roman"/>
                <w:sz w:val="20"/>
                <w:szCs w:val="20"/>
              </w:rPr>
            </w:pPr>
            <w:r>
              <w:rPr>
                <w:sz w:val="20"/>
                <w:szCs w:val="20"/>
              </w:rPr>
              <w:t>25</w:t>
            </w:r>
            <w:r>
              <w:rPr>
                <w:rFonts w:cs="Times New Roman"/>
                <w:sz w:val="20"/>
                <w:szCs w:val="20"/>
              </w:rPr>
              <w:t>/7</w:t>
            </w:r>
          </w:p>
        </w:tc>
        <w:tc>
          <w:tcPr>
            <w:tcW w:w="1951" w:type="pct"/>
            <w:vAlign w:val="center"/>
          </w:tcPr>
          <w:p w14:paraId="5D5AFB8D">
            <w:pPr>
              <w:autoSpaceDE w:val="0"/>
              <w:autoSpaceDN w:val="0"/>
              <w:adjustRightInd w:val="0"/>
              <w:spacing w:line="240" w:lineRule="auto"/>
              <w:jc w:val="center"/>
              <w:rPr>
                <w:rFonts w:cs="Times New Roman"/>
                <w:sz w:val="20"/>
                <w:szCs w:val="20"/>
              </w:rPr>
            </w:pPr>
            <w:r>
              <w:rPr>
                <w:sz w:val="20"/>
                <w:szCs w:val="20"/>
              </w:rPr>
              <w:t>30/15</w:t>
            </w:r>
          </w:p>
        </w:tc>
      </w:tr>
      <w:tr w14:paraId="67FE025F">
        <w:tc>
          <w:tcPr>
            <w:tcW w:w="1034" w:type="pct"/>
            <w:vAlign w:val="center"/>
          </w:tcPr>
          <w:p w14:paraId="40E5B3C7">
            <w:pPr>
              <w:autoSpaceDE w:val="0"/>
              <w:autoSpaceDN w:val="0"/>
              <w:adjustRightInd w:val="0"/>
              <w:spacing w:line="240" w:lineRule="auto"/>
              <w:jc w:val="center"/>
              <w:rPr>
                <w:rFonts w:cs="Times New Roman"/>
                <w:sz w:val="20"/>
                <w:szCs w:val="20"/>
              </w:rPr>
            </w:pPr>
            <w:r>
              <w:rPr>
                <w:rFonts w:cs="Times New Roman"/>
                <w:sz w:val="20"/>
                <w:szCs w:val="20"/>
              </w:rPr>
              <w:t>10</w:t>
            </w:r>
          </w:p>
        </w:tc>
        <w:tc>
          <w:tcPr>
            <w:tcW w:w="2015" w:type="pct"/>
            <w:vAlign w:val="center"/>
          </w:tcPr>
          <w:p w14:paraId="650E175C">
            <w:pPr>
              <w:autoSpaceDE w:val="0"/>
              <w:autoSpaceDN w:val="0"/>
              <w:adjustRightInd w:val="0"/>
              <w:spacing w:line="240" w:lineRule="auto"/>
              <w:jc w:val="center"/>
              <w:rPr>
                <w:rFonts w:cs="Times New Roman"/>
                <w:sz w:val="20"/>
                <w:szCs w:val="20"/>
              </w:rPr>
            </w:pPr>
            <w:r>
              <w:rPr>
                <w:sz w:val="20"/>
                <w:szCs w:val="20"/>
              </w:rPr>
              <w:t>13</w:t>
            </w:r>
            <w:r>
              <w:rPr>
                <w:rFonts w:cs="Times New Roman"/>
                <w:sz w:val="20"/>
                <w:szCs w:val="20"/>
              </w:rPr>
              <w:t>/7</w:t>
            </w:r>
          </w:p>
        </w:tc>
        <w:tc>
          <w:tcPr>
            <w:tcW w:w="1951" w:type="pct"/>
            <w:vAlign w:val="center"/>
          </w:tcPr>
          <w:p w14:paraId="5173F154">
            <w:pPr>
              <w:autoSpaceDE w:val="0"/>
              <w:autoSpaceDN w:val="0"/>
              <w:adjustRightInd w:val="0"/>
              <w:spacing w:line="240" w:lineRule="auto"/>
              <w:jc w:val="center"/>
              <w:rPr>
                <w:rFonts w:cs="Times New Roman"/>
                <w:sz w:val="20"/>
                <w:szCs w:val="20"/>
              </w:rPr>
            </w:pPr>
            <w:r>
              <w:rPr>
                <w:sz w:val="20"/>
                <w:szCs w:val="20"/>
              </w:rPr>
              <w:t>25/15</w:t>
            </w:r>
          </w:p>
        </w:tc>
      </w:tr>
      <w:tr w14:paraId="0C30007C">
        <w:trPr>
          <w:trHeight w:val="50" w:hRule="atLeast"/>
        </w:trPr>
        <w:tc>
          <w:tcPr>
            <w:tcW w:w="1034" w:type="pct"/>
            <w:vAlign w:val="center"/>
          </w:tcPr>
          <w:p w14:paraId="16ADF512">
            <w:pPr>
              <w:autoSpaceDE w:val="0"/>
              <w:autoSpaceDN w:val="0"/>
              <w:adjustRightInd w:val="0"/>
              <w:spacing w:line="240" w:lineRule="auto"/>
              <w:jc w:val="center"/>
              <w:rPr>
                <w:rFonts w:cs="Times New Roman"/>
                <w:sz w:val="20"/>
                <w:szCs w:val="20"/>
              </w:rPr>
            </w:pPr>
            <w:r>
              <w:rPr>
                <w:rFonts w:cs="Times New Roman"/>
                <w:sz w:val="20"/>
                <w:szCs w:val="20"/>
              </w:rPr>
              <w:t xml:space="preserve">13 </w:t>
            </w:r>
          </w:p>
        </w:tc>
        <w:tc>
          <w:tcPr>
            <w:tcW w:w="2015" w:type="pct"/>
            <w:vAlign w:val="center"/>
          </w:tcPr>
          <w:p w14:paraId="3F0C43F7">
            <w:pPr>
              <w:autoSpaceDE w:val="0"/>
              <w:autoSpaceDN w:val="0"/>
              <w:adjustRightInd w:val="0"/>
              <w:spacing w:line="240" w:lineRule="auto"/>
              <w:jc w:val="center"/>
              <w:rPr>
                <w:rFonts w:cs="Times New Roman"/>
                <w:sz w:val="20"/>
                <w:szCs w:val="20"/>
              </w:rPr>
            </w:pPr>
            <w:r>
              <w:rPr>
                <w:sz w:val="20"/>
                <w:szCs w:val="20"/>
              </w:rPr>
              <w:t>31</w:t>
            </w:r>
            <w:r>
              <w:rPr>
                <w:rFonts w:cs="Times New Roman"/>
                <w:sz w:val="20"/>
                <w:szCs w:val="20"/>
              </w:rPr>
              <w:t>/7</w:t>
            </w:r>
          </w:p>
        </w:tc>
        <w:tc>
          <w:tcPr>
            <w:tcW w:w="1951" w:type="pct"/>
            <w:vAlign w:val="center"/>
          </w:tcPr>
          <w:p w14:paraId="6B2BD8FB">
            <w:pPr>
              <w:autoSpaceDE w:val="0"/>
              <w:autoSpaceDN w:val="0"/>
              <w:adjustRightInd w:val="0"/>
              <w:spacing w:line="240" w:lineRule="auto"/>
              <w:jc w:val="center"/>
              <w:rPr>
                <w:rFonts w:cs="Times New Roman"/>
                <w:sz w:val="20"/>
                <w:szCs w:val="20"/>
              </w:rPr>
            </w:pPr>
            <w:r>
              <w:rPr>
                <w:sz w:val="20"/>
                <w:szCs w:val="20"/>
              </w:rPr>
              <w:t>18/15</w:t>
            </w:r>
          </w:p>
        </w:tc>
      </w:tr>
    </w:tbl>
    <w:p w14:paraId="293861FA">
      <w:pPr>
        <w:rPr>
          <w:sz w:val="20"/>
          <w:szCs w:val="20"/>
        </w:rPr>
      </w:pPr>
    </w:p>
    <w:p w14:paraId="711A2043">
      <w:pPr>
        <w:rPr>
          <w:rFonts w:cs="Times New Roman"/>
          <w:i/>
          <w:iCs/>
          <w:sz w:val="20"/>
          <w:szCs w:val="20"/>
        </w:rPr>
      </w:pPr>
      <w:r>
        <w:rPr>
          <w:rFonts w:cs="Times New Roman"/>
          <w:b/>
          <w:bCs/>
          <w:i/>
          <w:iCs/>
          <w:sz w:val="20"/>
          <w:szCs w:val="20"/>
          <w:u w:val="single"/>
        </w:rPr>
        <w:t>Observation 7</w:t>
      </w:r>
      <w:r>
        <w:rPr>
          <w:rFonts w:hint="eastAsia" w:cs="Times New Roman"/>
          <w:b/>
          <w:bCs/>
          <w:i/>
          <w:iCs/>
          <w:sz w:val="20"/>
          <w:szCs w:val="20"/>
        </w:rPr>
        <w:t>：</w:t>
      </w:r>
      <w:r>
        <w:rPr>
          <w:rFonts w:cs="Times New Roman"/>
          <w:i/>
          <w:iCs/>
          <w:sz w:val="20"/>
          <w:szCs w:val="20"/>
        </w:rPr>
        <w:t>At the same distance interval, the autocorrelation coefficient of KF decreases with increasing frequency, indicating shorter decorrelation distances for KF.</w:t>
      </w:r>
    </w:p>
    <w:p w14:paraId="5575A45D">
      <w:pPr>
        <w:rPr>
          <w:rFonts w:cs="Times New Roman"/>
          <w:i/>
          <w:iCs/>
          <w:sz w:val="20"/>
          <w:szCs w:val="20"/>
        </w:rPr>
      </w:pPr>
      <w:r>
        <w:rPr>
          <w:rFonts w:hint="eastAsia" w:cs="Times New Roman"/>
          <w:b/>
          <w:bCs/>
          <w:i/>
          <w:iCs/>
          <w:sz w:val="20"/>
          <w:szCs w:val="20"/>
          <w:u w:val="single"/>
        </w:rPr>
        <w:t xml:space="preserve">Proposal </w:t>
      </w:r>
      <w:r>
        <w:rPr>
          <w:rFonts w:cs="Times New Roman"/>
          <w:b/>
          <w:bCs/>
          <w:i/>
          <w:iCs/>
          <w:sz w:val="20"/>
          <w:szCs w:val="20"/>
          <w:u w:val="single"/>
        </w:rPr>
        <w:t>7</w:t>
      </w:r>
      <w:r>
        <w:rPr>
          <w:rFonts w:hint="eastAsia" w:cs="Times New Roman"/>
          <w:i/>
          <w:iCs/>
          <w:sz w:val="20"/>
          <w:szCs w:val="20"/>
        </w:rPr>
        <w:t xml:space="preserve">: </w:t>
      </w:r>
      <w:r>
        <w:rPr>
          <w:rFonts w:cs="Times New Roman"/>
          <w:i/>
          <w:iCs/>
          <w:sz w:val="20"/>
          <w:szCs w:val="20"/>
        </w:rPr>
        <w:t>The decorrelation distances of DS and KF in the 3GPP model are significantly smaller than the measured results, and the decorrelation distance of KF needs to consider frequency dependence.</w:t>
      </w:r>
    </w:p>
    <w:p w14:paraId="57C67798">
      <w:pPr>
        <w:rPr>
          <w:rFonts w:cs="Times New Roman"/>
        </w:rPr>
      </w:pPr>
    </w:p>
    <w:p w14:paraId="0B96ECEF">
      <w:pPr>
        <w:pStyle w:val="2"/>
        <w:pBdr>
          <w:top w:val="single" w:color="auto" w:sz="12" w:space="1"/>
        </w:pBdr>
        <w:spacing w:line="276" w:lineRule="auto"/>
        <w:rPr>
          <w:rFonts w:hint="default" w:ascii="Times New Roman Regular" w:hAnsi="Times New Roman Regular" w:cs="Times New Roman Regular"/>
          <w:lang w:val="en-US"/>
        </w:rPr>
      </w:pPr>
      <w:r>
        <w:rPr>
          <w:rFonts w:hint="default" w:ascii="Times New Roman Regular" w:hAnsi="Times New Roman Regular" w:cs="Times New Roman Regular"/>
          <w:lang w:val="en-US"/>
        </w:rPr>
        <w:t>3</w:t>
      </w:r>
      <w:r>
        <w:rPr>
          <w:rFonts w:hint="eastAsia" w:ascii="Times New Roman Regular" w:hAnsi="Times New Roman Regular" w:eastAsia="SimSun" w:cs="Times New Roman Regular"/>
          <w:lang w:val="en-US" w:eastAsia="zh-CN"/>
        </w:rPr>
        <w:t xml:space="preserve">  </w:t>
      </w:r>
      <w:r>
        <w:rPr>
          <w:rFonts w:hint="default" w:ascii="Times New Roman Regular" w:hAnsi="Times New Roman Regular" w:cs="Times New Roman Regular"/>
          <w:lang w:val="en-US"/>
        </w:rPr>
        <w:t>Conclusion</w:t>
      </w:r>
      <w:r>
        <w:rPr>
          <w:rFonts w:hint="default" w:ascii="Times New Roman Regular" w:hAnsi="Times New Roman Regular" w:cs="Times New Roman Regular" w:eastAsiaTheme="minorEastAsia"/>
          <w:lang w:val="en-US" w:eastAsia="zh-CN"/>
        </w:rPr>
        <w:t>s</w:t>
      </w:r>
    </w:p>
    <w:p w14:paraId="380C34FD">
      <w:pPr>
        <w:rPr>
          <w:rFonts w:cs="Times New Roman"/>
          <w:sz w:val="20"/>
          <w:szCs w:val="20"/>
          <w:lang w:val="en-GB"/>
        </w:rPr>
      </w:pPr>
      <w:r>
        <w:rPr>
          <w:rFonts w:cs="Times New Roman"/>
          <w:sz w:val="20"/>
          <w:szCs w:val="20"/>
        </w:rPr>
        <w:t xml:space="preserve">In this contribution, </w:t>
      </w:r>
      <w:r>
        <w:rPr>
          <w:rFonts w:cs="Times New Roman"/>
          <w:sz w:val="20"/>
          <w:szCs w:val="20"/>
          <w:lang w:val="en-GB"/>
        </w:rPr>
        <w:t xml:space="preserve">we now make the following observations according to the channel measurements at 7, 10, </w:t>
      </w:r>
      <w:r>
        <w:rPr>
          <w:rFonts w:hint="eastAsia" w:cs="Times New Roman"/>
          <w:sz w:val="20"/>
          <w:szCs w:val="20"/>
          <w:lang w:val="en-GB"/>
        </w:rPr>
        <w:t>and</w:t>
      </w:r>
      <w:r>
        <w:rPr>
          <w:rFonts w:cs="Times New Roman"/>
          <w:sz w:val="20"/>
          <w:szCs w:val="20"/>
          <w:lang w:val="en-GB"/>
        </w:rPr>
        <w:t xml:space="preserve"> 13 GHz in the UMi scenario:</w:t>
      </w:r>
    </w:p>
    <w:p w14:paraId="3E0EE623">
      <w:pPr>
        <w:rPr>
          <w:rFonts w:cs="Times New Roman"/>
          <w:sz w:val="20"/>
          <w:szCs w:val="20"/>
          <w:lang w:val="en-GB"/>
        </w:rPr>
      </w:pPr>
    </w:p>
    <w:p w14:paraId="73948974">
      <w:pPr>
        <w:rPr>
          <w:rFonts w:cs="Times New Roman"/>
          <w:b/>
          <w:bCs/>
          <w:i/>
          <w:iCs/>
          <w:sz w:val="20"/>
          <w:szCs w:val="20"/>
          <w:u w:val="single"/>
        </w:rPr>
      </w:pPr>
      <w:r>
        <w:rPr>
          <w:rFonts w:cs="Times New Roman"/>
          <w:b/>
          <w:bCs/>
          <w:i/>
          <w:iCs/>
          <w:sz w:val="20"/>
          <w:szCs w:val="20"/>
          <w:u w:val="single"/>
        </w:rPr>
        <w:t>Observation 1:</w:t>
      </w:r>
    </w:p>
    <w:p w14:paraId="0F0C68E1">
      <w:pPr>
        <w:pStyle w:val="25"/>
        <w:numPr>
          <w:ilvl w:val="0"/>
          <w:numId w:val="6"/>
        </w:numPr>
        <w:ind w:firstLineChars="0"/>
        <w:rPr>
          <w:rFonts w:cs="Times New Roman"/>
          <w:i/>
          <w:iCs/>
          <w:sz w:val="20"/>
          <w:szCs w:val="20"/>
        </w:rPr>
      </w:pPr>
      <w:r>
        <w:rPr>
          <w:rFonts w:cs="Times New Roman"/>
          <w:i/>
          <w:iCs/>
          <w:sz w:val="20"/>
          <w:szCs w:val="20"/>
        </w:rPr>
        <w:t>In LoS scenarios, the PLE increases with the increase of frequency, and the power fluctuation increases when the receiving and sending ends are far away.</w:t>
      </w:r>
    </w:p>
    <w:p w14:paraId="42854DF4">
      <w:pPr>
        <w:pStyle w:val="25"/>
        <w:numPr>
          <w:ilvl w:val="0"/>
          <w:numId w:val="6"/>
        </w:numPr>
        <w:ind w:firstLineChars="0"/>
        <w:rPr>
          <w:rFonts w:cs="Times New Roman"/>
          <w:i/>
          <w:iCs/>
          <w:sz w:val="20"/>
          <w:szCs w:val="20"/>
        </w:rPr>
      </w:pPr>
      <w:r>
        <w:rPr>
          <w:rFonts w:cs="Times New Roman"/>
          <w:i/>
          <w:iCs/>
          <w:sz w:val="20"/>
          <w:szCs w:val="20"/>
        </w:rPr>
        <w:t>In NLoS scenario, propagation loss is significantly higher than path loss due to some position blocking effects.</w:t>
      </w:r>
    </w:p>
    <w:p w14:paraId="43EACDEC">
      <w:pPr>
        <w:rPr>
          <w:rFonts w:cs="Times New Roman"/>
          <w:b/>
          <w:bCs/>
          <w:i/>
          <w:iCs/>
          <w:sz w:val="20"/>
          <w:szCs w:val="20"/>
          <w:u w:val="single"/>
        </w:rPr>
      </w:pPr>
      <w:r>
        <w:rPr>
          <w:rFonts w:cs="Times New Roman"/>
          <w:b/>
          <w:bCs/>
          <w:i/>
          <w:iCs/>
          <w:sz w:val="20"/>
          <w:szCs w:val="20"/>
          <w:u w:val="single"/>
        </w:rPr>
        <w:t>Observation 2:</w:t>
      </w:r>
    </w:p>
    <w:p w14:paraId="484F51F8">
      <w:pPr>
        <w:pStyle w:val="25"/>
        <w:numPr>
          <w:ilvl w:val="0"/>
          <w:numId w:val="7"/>
        </w:numPr>
        <w:ind w:firstLineChars="0"/>
        <w:rPr>
          <w:rFonts w:cs="Times New Roman"/>
          <w:i/>
          <w:iCs/>
          <w:sz w:val="20"/>
          <w:szCs w:val="20"/>
        </w:rPr>
      </w:pPr>
      <w:r>
        <w:rPr>
          <w:rFonts w:cs="Times New Roman"/>
          <w:i/>
          <w:iCs/>
          <w:sz w:val="20"/>
          <w:szCs w:val="20"/>
        </w:rPr>
        <w:t>In both LoS and NLoS scenarios, the DS decreases with increasing frequency. The rate at which the DS decreases with frequency in LoS scenarios is higher than that predicted by the 3GPP model.</w:t>
      </w:r>
    </w:p>
    <w:p w14:paraId="4EA919CB">
      <w:pPr>
        <w:pStyle w:val="25"/>
        <w:numPr>
          <w:ilvl w:val="0"/>
          <w:numId w:val="7"/>
        </w:numPr>
        <w:ind w:firstLineChars="0"/>
        <w:rPr>
          <w:rFonts w:cs="Times New Roman"/>
          <w:i/>
          <w:iCs/>
          <w:sz w:val="20"/>
          <w:szCs w:val="20"/>
        </w:rPr>
      </w:pPr>
      <w:r>
        <w:rPr>
          <w:rFonts w:cs="Times New Roman"/>
          <w:i/>
          <w:iCs/>
          <w:sz w:val="20"/>
          <w:szCs w:val="20"/>
        </w:rPr>
        <w:t>No significant frequency dependence of DS variance was observed in the NLoS scenario.</w:t>
      </w:r>
    </w:p>
    <w:p w14:paraId="765CF827">
      <w:pPr>
        <w:rPr>
          <w:rFonts w:cs="Times New Roman"/>
          <w:b/>
          <w:bCs/>
          <w:i/>
          <w:iCs/>
          <w:sz w:val="20"/>
          <w:szCs w:val="20"/>
          <w:u w:val="single"/>
        </w:rPr>
      </w:pPr>
      <w:r>
        <w:rPr>
          <w:rFonts w:cs="Times New Roman"/>
          <w:b/>
          <w:bCs/>
          <w:i/>
          <w:iCs/>
          <w:sz w:val="20"/>
          <w:szCs w:val="20"/>
          <w:u w:val="single"/>
        </w:rPr>
        <w:t>Observation 3:</w:t>
      </w:r>
    </w:p>
    <w:p w14:paraId="7269169C">
      <w:pPr>
        <w:pStyle w:val="25"/>
        <w:numPr>
          <w:ilvl w:val="0"/>
          <w:numId w:val="8"/>
        </w:numPr>
        <w:ind w:firstLineChars="0"/>
        <w:rPr>
          <w:rFonts w:cs="Times New Roman"/>
          <w:i/>
          <w:iCs/>
          <w:sz w:val="20"/>
          <w:szCs w:val="20"/>
        </w:rPr>
      </w:pPr>
      <w:r>
        <w:rPr>
          <w:rFonts w:cs="Times New Roman"/>
          <w:i/>
          <w:iCs/>
          <w:sz w:val="20"/>
          <w:szCs w:val="20"/>
        </w:rPr>
        <w:t>In both LoS and NLoS scenarios, the mean of the ASA/ESA decreases with increasing frequency, while the variance of ASA does not show a clear frequency dependence.</w:t>
      </w:r>
    </w:p>
    <w:p w14:paraId="7F2CBD5A">
      <w:pPr>
        <w:pStyle w:val="25"/>
        <w:numPr>
          <w:ilvl w:val="0"/>
          <w:numId w:val="8"/>
        </w:numPr>
        <w:ind w:firstLineChars="0"/>
        <w:rPr>
          <w:rFonts w:cs="Times New Roman"/>
          <w:i/>
          <w:iCs/>
          <w:sz w:val="20"/>
          <w:szCs w:val="20"/>
        </w:rPr>
      </w:pPr>
      <w:r>
        <w:rPr>
          <w:rFonts w:cs="Times New Roman"/>
          <w:i/>
          <w:iCs/>
          <w:sz w:val="20"/>
          <w:szCs w:val="20"/>
        </w:rPr>
        <w:t>In both LoS and NLoS scenarios, the mean and variance of the ASA according to the 3GPP model are noticeably higher than the measured results, while the mean of the ESA according to the 3GPP model is significantly lower than the measured results, and the variance is considerably higher than the measured results.</w:t>
      </w:r>
    </w:p>
    <w:p w14:paraId="2450C5FE">
      <w:pPr>
        <w:rPr>
          <w:rFonts w:cs="Times New Roman"/>
          <w:b/>
          <w:bCs/>
          <w:i/>
          <w:iCs/>
          <w:sz w:val="20"/>
          <w:szCs w:val="20"/>
          <w:u w:val="single"/>
        </w:rPr>
      </w:pPr>
      <w:r>
        <w:rPr>
          <w:rFonts w:cs="Times New Roman"/>
          <w:b/>
          <w:bCs/>
          <w:i/>
          <w:iCs/>
          <w:sz w:val="20"/>
          <w:szCs w:val="20"/>
          <w:u w:val="single"/>
        </w:rPr>
        <w:t xml:space="preserve">Observation 4: </w:t>
      </w:r>
      <w:r>
        <w:rPr>
          <w:rFonts w:cs="Times New Roman"/>
          <w:i/>
          <w:iCs/>
          <w:sz w:val="20"/>
          <w:szCs w:val="20"/>
        </w:rPr>
        <w:t>The mean values of the intra-cluster DS, ASA, and ESA are very similar across different frequency bands. However, there is still a trend of decreasing with increasing frequency.</w:t>
      </w:r>
    </w:p>
    <w:p w14:paraId="3C7C01BB">
      <w:pPr>
        <w:rPr>
          <w:rFonts w:cs="Times New Roman"/>
          <w:sz w:val="20"/>
          <w:szCs w:val="20"/>
          <w:lang w:val="en-GB"/>
        </w:rPr>
      </w:pPr>
      <w:r>
        <w:rPr>
          <w:rFonts w:cs="Times New Roman"/>
          <w:b/>
          <w:bCs/>
          <w:i/>
          <w:iCs/>
          <w:sz w:val="20"/>
          <w:szCs w:val="20"/>
          <w:u w:val="single"/>
        </w:rPr>
        <w:t xml:space="preserve">Observation 5: </w:t>
      </w:r>
      <w:r>
        <w:rPr>
          <w:rFonts w:cs="Times New Roman"/>
          <w:i/>
          <w:iCs/>
          <w:sz w:val="20"/>
          <w:szCs w:val="20"/>
        </w:rPr>
        <w:t>The mean value of the KF increases significantly with increasing frequency, and the variance of the KF shows a trend of decreasing with increasing frequency.</w:t>
      </w:r>
    </w:p>
    <w:p w14:paraId="3779DBE0">
      <w:pPr>
        <w:rPr>
          <w:rFonts w:cs="Times New Roman"/>
          <w:b/>
          <w:bCs/>
          <w:i/>
          <w:iCs/>
          <w:sz w:val="20"/>
          <w:szCs w:val="20"/>
        </w:rPr>
      </w:pPr>
      <w:r>
        <w:rPr>
          <w:rFonts w:cs="Times New Roman"/>
          <w:b/>
          <w:bCs/>
          <w:i/>
          <w:iCs/>
          <w:sz w:val="20"/>
          <w:szCs w:val="20"/>
          <w:u w:val="single"/>
        </w:rPr>
        <w:t xml:space="preserve">Observation 6: </w:t>
      </w:r>
      <w:r>
        <w:rPr>
          <w:rFonts w:cs="Times New Roman"/>
          <w:i/>
          <w:iCs/>
          <w:sz w:val="20"/>
          <w:szCs w:val="20"/>
        </w:rPr>
        <w:t>The relative AoA and EoA of the clusters both follow a Laplacian distribution.</w:t>
      </w:r>
    </w:p>
    <w:p w14:paraId="35951F55">
      <w:pPr>
        <w:rPr>
          <w:rFonts w:cs="Times New Roman"/>
          <w:sz w:val="20"/>
          <w:szCs w:val="20"/>
          <w:lang w:val="en-GB"/>
        </w:rPr>
      </w:pPr>
      <w:r>
        <w:rPr>
          <w:rFonts w:cs="Times New Roman"/>
          <w:b/>
          <w:bCs/>
          <w:i/>
          <w:iCs/>
          <w:sz w:val="20"/>
          <w:szCs w:val="20"/>
          <w:u w:val="single"/>
        </w:rPr>
        <w:t xml:space="preserve">Observation 7: </w:t>
      </w:r>
      <w:r>
        <w:rPr>
          <w:rFonts w:cs="Times New Roman"/>
          <w:i/>
          <w:iCs/>
          <w:sz w:val="20"/>
          <w:szCs w:val="20"/>
        </w:rPr>
        <w:t>At the same distance interval, the autocorrelation coefficient of KF decreases with increasing frequency, indicating shorter decorrelation distances for KF.</w:t>
      </w:r>
    </w:p>
    <w:p w14:paraId="2E48B003">
      <w:pPr>
        <w:rPr>
          <w:rFonts w:cs="Times New Roman"/>
          <w:sz w:val="20"/>
          <w:szCs w:val="20"/>
          <w:lang w:val="en-GB"/>
        </w:rPr>
      </w:pPr>
    </w:p>
    <w:p w14:paraId="0EF0871C">
      <w:pPr>
        <w:rPr>
          <w:rFonts w:cs="Times New Roman"/>
          <w:sz w:val="20"/>
          <w:szCs w:val="20"/>
          <w:lang w:val="en-GB"/>
        </w:rPr>
      </w:pPr>
    </w:p>
    <w:p w14:paraId="007A8C8D">
      <w:pPr>
        <w:rPr>
          <w:rFonts w:cs="Times New Roman"/>
          <w:sz w:val="20"/>
          <w:szCs w:val="20"/>
        </w:rPr>
      </w:pPr>
    </w:p>
    <w:p w14:paraId="4B6EDE54">
      <w:pPr>
        <w:rPr>
          <w:rFonts w:cs="Times New Roman"/>
          <w:sz w:val="20"/>
          <w:szCs w:val="20"/>
        </w:rPr>
      </w:pPr>
      <w:r>
        <w:rPr>
          <w:rFonts w:cs="Times New Roman"/>
          <w:sz w:val="20"/>
          <w:szCs w:val="20"/>
        </w:rPr>
        <w:t>Additionally, the following proposals are made regarding use cases and scenarios for MIMO channel modeling:</w:t>
      </w:r>
    </w:p>
    <w:p w14:paraId="47598F2C">
      <w:pPr>
        <w:rPr>
          <w:rFonts w:cs="Times New Roman"/>
          <w:i/>
          <w:iCs/>
          <w:sz w:val="20"/>
          <w:szCs w:val="20"/>
        </w:rPr>
      </w:pPr>
      <w:r>
        <w:rPr>
          <w:rFonts w:hint="eastAsia" w:cs="Times New Roman"/>
          <w:b/>
          <w:bCs/>
          <w:i/>
          <w:iCs/>
          <w:sz w:val="20"/>
          <w:szCs w:val="20"/>
          <w:u w:val="single"/>
        </w:rPr>
        <w:t>Proposal 1</w:t>
      </w:r>
      <w:r>
        <w:rPr>
          <w:rFonts w:hint="eastAsia" w:cs="Times New Roman"/>
          <w:i/>
          <w:iCs/>
          <w:sz w:val="20"/>
          <w:szCs w:val="20"/>
        </w:rPr>
        <w:t>:</w:t>
      </w:r>
    </w:p>
    <w:p w14:paraId="52C4DD1A">
      <w:pPr>
        <w:pStyle w:val="25"/>
        <w:numPr>
          <w:ilvl w:val="0"/>
          <w:numId w:val="9"/>
        </w:numPr>
        <w:ind w:firstLineChars="0"/>
        <w:rPr>
          <w:i/>
          <w:iCs/>
          <w:sz w:val="20"/>
          <w:szCs w:val="20"/>
        </w:rPr>
      </w:pPr>
      <w:r>
        <w:rPr>
          <w:i/>
          <w:iCs/>
          <w:sz w:val="20"/>
          <w:szCs w:val="20"/>
        </w:rPr>
        <w:t>The influence of frequency on the PLE needs be considered in the path loss model</w:t>
      </w:r>
    </w:p>
    <w:p w14:paraId="6EBFE519">
      <w:pPr>
        <w:pStyle w:val="25"/>
        <w:numPr>
          <w:ilvl w:val="0"/>
          <w:numId w:val="9"/>
        </w:numPr>
        <w:ind w:firstLineChars="0"/>
        <w:rPr>
          <w:i/>
          <w:iCs/>
          <w:sz w:val="20"/>
          <w:szCs w:val="20"/>
        </w:rPr>
      </w:pPr>
      <w:r>
        <w:rPr>
          <w:i/>
          <w:iCs/>
          <w:sz w:val="20"/>
          <w:szCs w:val="20"/>
        </w:rPr>
        <w:t>In NLoS scenario, it is necessary to consider the influence of blocking/diffraction loss on path loss.</w:t>
      </w:r>
    </w:p>
    <w:p w14:paraId="51D66CD7">
      <w:pPr>
        <w:rPr>
          <w:rFonts w:cs="Times New Roman"/>
          <w:i/>
          <w:iCs/>
          <w:sz w:val="20"/>
          <w:szCs w:val="20"/>
        </w:rPr>
      </w:pPr>
      <w:r>
        <w:rPr>
          <w:rFonts w:hint="eastAsia" w:cs="Times New Roman"/>
          <w:b/>
          <w:bCs/>
          <w:i/>
          <w:iCs/>
          <w:sz w:val="20"/>
          <w:szCs w:val="20"/>
          <w:u w:val="single"/>
        </w:rPr>
        <w:t xml:space="preserve">Proposal </w:t>
      </w:r>
      <w:r>
        <w:rPr>
          <w:rFonts w:cs="Times New Roman"/>
          <w:b/>
          <w:bCs/>
          <w:i/>
          <w:iCs/>
          <w:sz w:val="20"/>
          <w:szCs w:val="20"/>
          <w:u w:val="single"/>
        </w:rPr>
        <w:t>2</w:t>
      </w:r>
      <w:r>
        <w:rPr>
          <w:rFonts w:hint="eastAsia" w:cs="Times New Roman"/>
          <w:i/>
          <w:iCs/>
          <w:sz w:val="20"/>
          <w:szCs w:val="20"/>
        </w:rPr>
        <w:t>:</w:t>
      </w:r>
      <w:r>
        <w:rPr>
          <w:rFonts w:cs="Times New Roman"/>
          <w:i/>
          <w:iCs/>
          <w:sz w:val="20"/>
          <w:szCs w:val="20"/>
        </w:rPr>
        <w:t xml:space="preserve"> The frequency dependence factor of the mean DS in LoS scenarios needs to be adjusted, while the variance of DS in NLoS scenarios does not have frequency dependence.</w:t>
      </w:r>
    </w:p>
    <w:p w14:paraId="7F684C10">
      <w:pPr>
        <w:rPr>
          <w:rFonts w:cs="Times New Roman"/>
          <w:i/>
          <w:iCs/>
          <w:sz w:val="20"/>
          <w:szCs w:val="20"/>
        </w:rPr>
      </w:pPr>
      <w:r>
        <w:rPr>
          <w:rFonts w:hint="eastAsia" w:cs="Times New Roman"/>
          <w:b/>
          <w:bCs/>
          <w:i/>
          <w:iCs/>
          <w:sz w:val="20"/>
          <w:szCs w:val="20"/>
          <w:u w:val="single"/>
        </w:rPr>
        <w:t xml:space="preserve">Proposal </w:t>
      </w:r>
      <w:r>
        <w:rPr>
          <w:rFonts w:cs="Times New Roman"/>
          <w:b/>
          <w:bCs/>
          <w:i/>
          <w:iCs/>
          <w:sz w:val="20"/>
          <w:szCs w:val="20"/>
          <w:u w:val="single"/>
        </w:rPr>
        <w:t>3</w:t>
      </w:r>
      <w:r>
        <w:rPr>
          <w:rFonts w:hint="eastAsia" w:cs="Times New Roman"/>
          <w:i/>
          <w:iCs/>
          <w:sz w:val="20"/>
          <w:szCs w:val="20"/>
        </w:rPr>
        <w:t>:</w:t>
      </w:r>
      <w:r>
        <w:rPr>
          <w:rFonts w:cs="Times New Roman"/>
          <w:i/>
          <w:iCs/>
          <w:sz w:val="20"/>
          <w:szCs w:val="20"/>
        </w:rPr>
        <w:t xml:space="preserve"> In the Urban Micro (UMi) scenario, the 3GPP parameters for ASA and ESA need adjustment. The mean and variance of ASA needs to be decreased, while the mean of ESA needs to be increased, and the variance needs to be decreased.</w:t>
      </w:r>
    </w:p>
    <w:p w14:paraId="3A6C04CF">
      <w:pPr>
        <w:rPr>
          <w:rFonts w:cs="Times New Roman"/>
          <w:i/>
          <w:iCs/>
          <w:sz w:val="20"/>
          <w:szCs w:val="20"/>
        </w:rPr>
      </w:pPr>
      <w:r>
        <w:rPr>
          <w:rFonts w:hint="eastAsia" w:cs="Times New Roman"/>
          <w:b/>
          <w:bCs/>
          <w:i/>
          <w:iCs/>
          <w:sz w:val="20"/>
          <w:szCs w:val="20"/>
          <w:u w:val="single"/>
        </w:rPr>
        <w:t xml:space="preserve">Proposal </w:t>
      </w:r>
      <w:r>
        <w:rPr>
          <w:rFonts w:cs="Times New Roman"/>
          <w:b/>
          <w:bCs/>
          <w:i/>
          <w:iCs/>
          <w:sz w:val="20"/>
          <w:szCs w:val="20"/>
          <w:u w:val="single"/>
        </w:rPr>
        <w:t>4</w:t>
      </w:r>
      <w:r>
        <w:rPr>
          <w:rFonts w:hint="eastAsia" w:cs="Times New Roman"/>
          <w:i/>
          <w:iCs/>
          <w:sz w:val="20"/>
          <w:szCs w:val="20"/>
        </w:rPr>
        <w:t>:</w:t>
      </w:r>
      <w:r>
        <w:rPr>
          <w:rFonts w:cs="Times New Roman"/>
          <w:i/>
          <w:iCs/>
          <w:sz w:val="20"/>
          <w:szCs w:val="20"/>
        </w:rPr>
        <w:t xml:space="preserve"> Setting the same intra-cluster DS, ASA, and ESA for different clusters in the 3GPP model might be unreasonable, and the mean of the intra-cluster ASA is notably higher than the measured results.</w:t>
      </w:r>
    </w:p>
    <w:p w14:paraId="483EAE71">
      <w:pPr>
        <w:rPr>
          <w:rFonts w:cs="Times New Roman"/>
          <w:i/>
          <w:iCs/>
          <w:sz w:val="20"/>
          <w:szCs w:val="20"/>
        </w:rPr>
      </w:pPr>
      <w:r>
        <w:rPr>
          <w:rFonts w:hint="eastAsia" w:cs="Times New Roman"/>
          <w:b/>
          <w:bCs/>
          <w:i/>
          <w:iCs/>
          <w:sz w:val="20"/>
          <w:szCs w:val="20"/>
          <w:u w:val="single"/>
        </w:rPr>
        <w:t xml:space="preserve">Proposal </w:t>
      </w:r>
      <w:r>
        <w:rPr>
          <w:rFonts w:cs="Times New Roman"/>
          <w:b/>
          <w:bCs/>
          <w:i/>
          <w:iCs/>
          <w:sz w:val="20"/>
          <w:szCs w:val="20"/>
          <w:u w:val="single"/>
        </w:rPr>
        <w:t>5</w:t>
      </w:r>
      <w:r>
        <w:rPr>
          <w:rFonts w:hint="eastAsia" w:cs="Times New Roman"/>
          <w:i/>
          <w:iCs/>
          <w:sz w:val="20"/>
          <w:szCs w:val="20"/>
        </w:rPr>
        <w:t>:</w:t>
      </w:r>
      <w:r>
        <w:rPr>
          <w:rFonts w:cs="Times New Roman"/>
          <w:i/>
          <w:iCs/>
          <w:sz w:val="20"/>
          <w:szCs w:val="20"/>
        </w:rPr>
        <w:t xml:space="preserve"> The mean value of the KF needs to be modeled with frequency-dependent parameters, and the KF mean values need to be adjusted based on the measurement results.</w:t>
      </w:r>
    </w:p>
    <w:p w14:paraId="33217FD2">
      <w:pPr>
        <w:rPr>
          <w:rFonts w:cs="Times New Roman"/>
          <w:i/>
          <w:iCs/>
          <w:sz w:val="20"/>
          <w:szCs w:val="20"/>
        </w:rPr>
      </w:pPr>
      <w:r>
        <w:rPr>
          <w:rFonts w:hint="eastAsia" w:cs="Times New Roman"/>
          <w:b/>
          <w:bCs/>
          <w:i/>
          <w:iCs/>
          <w:sz w:val="20"/>
          <w:szCs w:val="20"/>
          <w:u w:val="single"/>
        </w:rPr>
        <w:t xml:space="preserve">Proposal </w:t>
      </w:r>
      <w:r>
        <w:rPr>
          <w:rFonts w:cs="Times New Roman"/>
          <w:b/>
          <w:bCs/>
          <w:i/>
          <w:iCs/>
          <w:sz w:val="20"/>
          <w:szCs w:val="20"/>
          <w:u w:val="single"/>
        </w:rPr>
        <w:t>6</w:t>
      </w:r>
      <w:r>
        <w:rPr>
          <w:rFonts w:hint="eastAsia" w:cs="Times New Roman"/>
          <w:i/>
          <w:iCs/>
          <w:sz w:val="20"/>
          <w:szCs w:val="20"/>
        </w:rPr>
        <w:t>:</w:t>
      </w:r>
      <w:r>
        <w:rPr>
          <w:rFonts w:cs="Times New Roman"/>
          <w:i/>
          <w:iCs/>
          <w:sz w:val="20"/>
          <w:szCs w:val="20"/>
        </w:rPr>
        <w:t xml:space="preserve"> In the 3GPP TR 38.901, the relative EoA of clusters is modeled as a truncated Gaussian distribution. However, the measurement results indicate that the relative EoAs of clusters better conform to a Laplacian distribution.</w:t>
      </w:r>
    </w:p>
    <w:p w14:paraId="05DCB802">
      <w:pPr>
        <w:rPr>
          <w:rFonts w:cs="Times New Roman"/>
          <w:i/>
          <w:iCs/>
          <w:sz w:val="20"/>
          <w:szCs w:val="20"/>
        </w:rPr>
      </w:pPr>
      <w:r>
        <w:rPr>
          <w:rFonts w:hint="eastAsia" w:cs="Times New Roman"/>
          <w:b/>
          <w:bCs/>
          <w:i/>
          <w:iCs/>
          <w:sz w:val="20"/>
          <w:szCs w:val="20"/>
          <w:u w:val="single"/>
        </w:rPr>
        <w:t xml:space="preserve">Proposal </w:t>
      </w:r>
      <w:r>
        <w:rPr>
          <w:rFonts w:cs="Times New Roman"/>
          <w:b/>
          <w:bCs/>
          <w:i/>
          <w:iCs/>
          <w:sz w:val="20"/>
          <w:szCs w:val="20"/>
          <w:u w:val="single"/>
        </w:rPr>
        <w:t>7</w:t>
      </w:r>
      <w:r>
        <w:rPr>
          <w:rFonts w:hint="eastAsia" w:cs="Times New Roman"/>
          <w:i/>
          <w:iCs/>
          <w:sz w:val="20"/>
          <w:szCs w:val="20"/>
        </w:rPr>
        <w:t>:</w:t>
      </w:r>
      <w:r>
        <w:rPr>
          <w:rFonts w:cs="Times New Roman"/>
          <w:i/>
          <w:iCs/>
          <w:sz w:val="20"/>
          <w:szCs w:val="20"/>
        </w:rPr>
        <w:t xml:space="preserve"> The decorrelation distances of DS and KF in the 3GPP model are significantly smaller than the measured results, and the decorrelation distance of KF needs to consider frequency dependence.</w:t>
      </w:r>
    </w:p>
    <w:p w14:paraId="4CF0916B">
      <w:pPr>
        <w:pStyle w:val="2"/>
        <w:pBdr>
          <w:top w:val="single" w:color="auto" w:sz="4" w:space="3"/>
        </w:pBdr>
        <w:rPr>
          <w:rFonts w:hint="default" w:ascii="Times New Roman Regular" w:hAnsi="Times New Roman Regular" w:cs="Times New Roman Regular"/>
          <w:lang w:val="en-US"/>
        </w:rPr>
      </w:pPr>
      <w:r>
        <w:rPr>
          <w:rFonts w:hint="default" w:ascii="Times New Roman Regular" w:hAnsi="Times New Roman Regular" w:cs="Times New Roman Regular" w:eastAsiaTheme="minorEastAsia"/>
          <w:lang w:val="en-US" w:eastAsia="zh-CN"/>
        </w:rPr>
        <w:t>4</w:t>
      </w:r>
      <w:r>
        <w:rPr>
          <w:rFonts w:hint="eastAsia" w:ascii="Times New Roman Regular" w:hAnsi="Times New Roman Regular" w:cs="Times New Roman Regular" w:eastAsiaTheme="minorEastAsia"/>
          <w:lang w:val="en-US" w:eastAsia="zh-CN"/>
        </w:rPr>
        <w:t xml:space="preserve"> </w:t>
      </w:r>
      <w:r>
        <w:rPr>
          <w:rFonts w:hint="default" w:ascii="Times New Roman Regular" w:hAnsi="Times New Roman Regular" w:cs="Times New Roman Regular"/>
          <w:lang w:val="en-US"/>
        </w:rPr>
        <w:t>References</w:t>
      </w:r>
    </w:p>
    <w:p w14:paraId="52F9A161">
      <w:pPr>
        <w:rPr>
          <w:rFonts w:cs="Times New Roman"/>
          <w:sz w:val="20"/>
          <w:szCs w:val="20"/>
        </w:rPr>
      </w:pPr>
      <w:r>
        <w:rPr>
          <w:rFonts w:hint="eastAsia" w:cs="Times New Roman"/>
          <w:sz w:val="20"/>
          <w:szCs w:val="20"/>
        </w:rPr>
        <w:t>[</w:t>
      </w:r>
      <w:r>
        <w:rPr>
          <w:rFonts w:cs="Times New Roman"/>
          <w:sz w:val="20"/>
          <w:szCs w:val="20"/>
        </w:rPr>
        <w:t>1</w:t>
      </w:r>
      <w:r>
        <w:rPr>
          <w:rFonts w:hint="eastAsia" w:cs="Times New Roman"/>
          <w:sz w:val="20"/>
          <w:szCs w:val="20"/>
        </w:rPr>
        <w:t xml:space="preserve">] </w:t>
      </w:r>
      <w:r>
        <w:rPr>
          <w:rFonts w:cs="Times New Roman"/>
          <w:sz w:val="20"/>
          <w:szCs w:val="20"/>
        </w:rPr>
        <w:t>3GPP TR 38.901, V14.0.0, “Study on channel model for frequencies from 0.5 to 100 GHz (Release 14),” Mar. 2017.</w:t>
      </w:r>
    </w:p>
    <w:p w14:paraId="4DB0D67C"/>
    <w:sectPr>
      <w:pgSz w:w="11906" w:h="16838"/>
      <w:pgMar w:top="1418" w:right="1134" w:bottom="1134" w:left="1134" w:header="851" w:footer="992" w:gutter="0"/>
      <w:pgBorders>
        <w:top w:val="none" w:sz="0" w:space="0"/>
        <w:left w:val="none" w:sz="0" w:space="0"/>
        <w:bottom w:val="none" w:sz="0" w:space="0"/>
        <w:right w:val="none" w:sz="0" w:space="0"/>
      </w:pgBorders>
      <w:cols w:space="425" w:num="1"/>
      <w:docGrid w:type="lines" w:linePitch="32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0030101010101"/>
    <w:charset w:val="86"/>
    <w:family w:val="auto"/>
    <w:pitch w:val="default"/>
    <w:sig w:usb0="00000001" w:usb1="080E0000" w:usb2="00000000" w:usb3="00000000" w:csb0="00040000"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Arial">
    <w:panose1 w:val="020B0604020202090204"/>
    <w:charset w:val="00"/>
    <w:family w:val="swiss"/>
    <w:pitch w:val="default"/>
    <w:sig w:usb0="E0000AFF" w:usb1="00007843" w:usb2="00000001" w:usb3="00000000" w:csb0="400001BF" w:csb1="DFF70000"/>
  </w:font>
  <w:font w:name="Malgun Gothic">
    <w:altName w:val="Apple SD Gothic Neo"/>
    <w:panose1 w:val="020B0503020000020004"/>
    <w:charset w:val="81"/>
    <w:family w:val="swiss"/>
    <w:pitch w:val="default"/>
    <w:sig w:usb0="00000000" w:usb1="00000000" w:usb2="00000012" w:usb3="00000000" w:csb0="00080001" w:csb1="00000000"/>
  </w:font>
  <w:font w:name="MS Mincho">
    <w:altName w:val="Hiragino Sans"/>
    <w:panose1 w:val="02020609040205080304"/>
    <w:charset w:val="80"/>
    <w:family w:val="modern"/>
    <w:pitch w:val="default"/>
    <w:sig w:usb0="00000000" w:usb1="00000000" w:usb2="08000012" w:usb3="00000000" w:csb0="0002009F" w:csb1="00000000"/>
  </w:font>
  <w:font w:name="Cambria Math">
    <w:altName w:val="Kingsoft Math"/>
    <w:panose1 w:val="02040503050406030204"/>
    <w:charset w:val="00"/>
    <w:family w:val="roman"/>
    <w:pitch w:val="default"/>
    <w:sig w:usb0="00000000" w:usb1="00000000" w:usb2="02000000" w:usb3="00000000" w:csb0="0000019F" w:csb1="00000000"/>
  </w:font>
  <w:font w:name="Kingsoft Math">
    <w:panose1 w:val="02040503050406030204"/>
    <w:charset w:val="00"/>
    <w:family w:val="auto"/>
    <w:pitch w:val="default"/>
    <w:sig w:usb0="80000087" w:usb1="00002068" w:usb2="00000000" w:usb3="00000000" w:csb0="2000019F" w:csb1="00000000"/>
  </w:font>
  <w:font w:name="DejaVu Math TeX Gyre">
    <w:panose1 w:val="02000503000000000000"/>
    <w:charset w:val="00"/>
    <w:family w:val="auto"/>
    <w:pitch w:val="default"/>
    <w:sig w:usb0="A10000EF" w:usb1="4201F9EE" w:usb2="02000000" w:usb3="00000000" w:csb0="60000193" w:csb1="0DD40000"/>
  </w:font>
  <w:font w:name="Apple SD Gothic Neo">
    <w:panose1 w:val="02000300000000000000"/>
    <w:charset w:val="81"/>
    <w:family w:val="auto"/>
    <w:pitch w:val="default"/>
    <w:sig w:usb0="00000203" w:usb1="21D12C10" w:usb2="00000010" w:usb3="00000000" w:csb0="00280005" w:csb1="00000000"/>
  </w:font>
  <w:font w:name="宋体-简">
    <w:panose1 w:val="02010800040101010101"/>
    <w:charset w:val="86"/>
    <w:family w:val="auto"/>
    <w:pitch w:val="default"/>
    <w:sig w:usb0="00000001" w:usb1="080F0000" w:usb2="00000000" w:usb3="00000000" w:csb0="00040000" w:csb1="00000000"/>
  </w:font>
  <w:font w:name="Hiragino Sans">
    <w:panose1 w:val="020B0300000000000000"/>
    <w:charset w:val="80"/>
    <w:family w:val="auto"/>
    <w:pitch w:val="default"/>
    <w:sig w:usb0="E00002FF" w:usb1="7AE7FFFF" w:usb2="00000012" w:usb3="00000000" w:csb0="0002000D" w:csb1="00000000"/>
  </w:font>
  <w:font w:name="Helvetica Neue">
    <w:panose1 w:val="02000503000000020004"/>
    <w:charset w:val="00"/>
    <w:family w:val="auto"/>
    <w:pitch w:val="default"/>
    <w:sig w:usb0="E50002FF" w:usb1="500079DB" w:usb2="00000010" w:usb3="00000000" w:csb0="00000000" w:csb1="00000000"/>
  </w:font>
  <w:font w:name="Kingsoft Sign">
    <w:panose1 w:val="05050102010706020507"/>
    <w:charset w:val="00"/>
    <w:family w:val="auto"/>
    <w:pitch w:val="default"/>
    <w:sig w:usb0="00000000" w:usb1="10000000" w:usb2="00000000" w:usb3="00000000" w:csb0="00000001" w:csb1="00000000"/>
  </w:font>
  <w:font w:name="Times New Roman Regular">
    <w:panose1 w:val="02020503050405090304"/>
    <w:charset w:val="00"/>
    <w:family w:val="auto"/>
    <w:pitch w:val="default"/>
    <w:sig w:usb0="E0000AFF" w:usb1="00007843" w:usb2="00000001" w:usb3="00000000" w:csb0="400001BF" w:csb1="DFF70000"/>
  </w:font>
  <w:font w:name="MS Mincho">
    <w:altName w:val="Hiragino Sans"/>
    <w:panose1 w:val="00000000000000000000"/>
    <w:charset w:val="00"/>
    <w:family w:val="auto"/>
    <w:pitch w:val="default"/>
    <w:sig w:usb0="00000000" w:usb1="00000000" w:usb2="00000000" w:usb3="00000000" w:csb0="00000000" w:csb1="00000000"/>
  </w:font>
  <w:font w:name="Al Bayan Plain">
    <w:panose1 w:val="00000000000000000000"/>
    <w:charset w:val="00"/>
    <w:family w:val="auto"/>
    <w:pitch w:val="default"/>
    <w:sig w:usb0="00002000" w:usb1="00000000" w:usb2="00000008" w:usb3="00000000" w:csb0="00000040" w:csb1="20000000"/>
  </w:font>
  <w:font w:name="Al Nile Regular">
    <w:panose1 w:val="00000400000000000000"/>
    <w:charset w:val="00"/>
    <w:family w:val="auto"/>
    <w:pitch w:val="default"/>
    <w:sig w:usb0="00000003" w:usb1="00000000" w:usb2="00000000" w:usb3="00000000" w:csb0="00000001" w:csb1="00000000"/>
  </w:font>
  <w:font w:name="American Typewriter Regular">
    <w:panose1 w:val="02090604020004020304"/>
    <w:charset w:val="00"/>
    <w:family w:val="auto"/>
    <w:pitch w:val="default"/>
    <w:sig w:usb0="A000006F" w:usb1="00000019" w:usb2="00000000" w:usb3="00000000" w:csb0="20000111" w:csb1="00000000"/>
  </w:font>
  <w:font w:name="Times New Roman Bold">
    <w:panose1 w:val="02020503050405090304"/>
    <w:charset w:val="00"/>
    <w:family w:val="auto"/>
    <w:pitch w:val="default"/>
    <w:sig w:usb0="E0000AFF" w:usb1="00007843" w:usb2="00000001" w:usb3="00000000" w:csb0="400001BF" w:csb1="DFF70000"/>
  </w:font>
  <w:font w:name="SimSun">
    <w:panose1 w:val="02010600030101010101"/>
    <w:charset w:val="86"/>
    <w:family w:val="auto"/>
    <w:pitch w:val="default"/>
    <w:sig w:usb0="00000003" w:usb1="288F0000" w:usb2="00000006" w:usb3="00000000" w:csb0="00040001" w:csb1="00000000"/>
  </w:font>
  <w:font w:name="Yuanti TC Regular">
    <w:panose1 w:val="02010600040101010101"/>
    <w:charset w:val="86"/>
    <w:family w:val="auto"/>
    <w:pitch w:val="default"/>
    <w:sig w:usb0="80000287" w:usb1="280F3C52" w:usb2="00000016" w:usb3="00000000" w:csb0="0004001F" w:csb1="00000000"/>
  </w:font>
  <w:font w:name="Apple Symbols">
    <w:panose1 w:val="02000000000000000000"/>
    <w:charset w:val="00"/>
    <w:family w:val="auto"/>
    <w:pitch w:val="default"/>
    <w:sig w:usb0="800000A3" w:usb1="08007BEB" w:usb2="01840034" w:usb3="0000A268" w:csb0="200001FB" w:csb1="DDFF0000"/>
  </w:font>
  <w:font w:name="Al Tarikh">
    <w:panose1 w:val="00000400000000000000"/>
    <w:charset w:val="00"/>
    <w:family w:val="auto"/>
    <w:pitch w:val="default"/>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FFED6EB"/>
    <w:multiLevelType w:val="singleLevel"/>
    <w:tmpl w:val="DFFED6EB"/>
    <w:lvl w:ilvl="0" w:tentative="0">
      <w:start w:val="1"/>
      <w:numFmt w:val="decimal"/>
      <w:suff w:val="space"/>
      <w:lvlText w:val="%1."/>
      <w:lvlJc w:val="left"/>
    </w:lvl>
  </w:abstractNum>
  <w:abstractNum w:abstractNumId="1">
    <w:nsid w:val="02977F50"/>
    <w:multiLevelType w:val="multilevel"/>
    <w:tmpl w:val="02977F50"/>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147F0DB1"/>
    <w:multiLevelType w:val="multilevel"/>
    <w:tmpl w:val="147F0DB1"/>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191F79DB"/>
    <w:multiLevelType w:val="multilevel"/>
    <w:tmpl w:val="191F79DB"/>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4BA377D8"/>
    <w:multiLevelType w:val="multilevel"/>
    <w:tmpl w:val="4BA377D8"/>
    <w:lvl w:ilvl="0" w:tentative="0">
      <w:start w:val="1"/>
      <w:numFmt w:val="decimal"/>
      <w:lvlText w:val="%1)"/>
      <w:lvlJc w:val="left"/>
      <w:pPr>
        <w:ind w:left="360" w:hanging="360"/>
      </w:pPr>
      <w:rPr>
        <w:rFonts w:hint="default"/>
        <w:b w:val="0"/>
        <w:bCs w:val="0"/>
        <w:i w:val="0"/>
        <w:iCs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63D81F3B"/>
    <w:multiLevelType w:val="multilevel"/>
    <w:tmpl w:val="63D81F3B"/>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66E23B4A"/>
    <w:multiLevelType w:val="multilevel"/>
    <w:tmpl w:val="66E23B4A"/>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6B3E7D38"/>
    <w:multiLevelType w:val="multilevel"/>
    <w:tmpl w:val="6B3E7D38"/>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7FA82E5A"/>
    <w:multiLevelType w:val="multilevel"/>
    <w:tmpl w:val="7FA82E5A"/>
    <w:lvl w:ilvl="0" w:tentative="0">
      <w:start w:val="1"/>
      <w:numFmt w:val="decimal"/>
      <w:lvlText w:val="%1)"/>
      <w:lvlJc w:val="left"/>
      <w:pPr>
        <w:ind w:left="360" w:hanging="360"/>
      </w:pPr>
      <w:rPr>
        <w:rFonts w:hint="default"/>
        <w:b w:val="0"/>
        <w:bCs w:val="0"/>
        <w:i w:val="0"/>
        <w:iCs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6"/>
  </w:num>
  <w:num w:numId="3">
    <w:abstractNumId w:val="2"/>
  </w:num>
  <w:num w:numId="4">
    <w:abstractNumId w:val="8"/>
  </w:num>
  <w:num w:numId="5">
    <w:abstractNumId w:val="1"/>
  </w:num>
  <w:num w:numId="6">
    <w:abstractNumId w:val="5"/>
  </w:num>
  <w:num w:numId="7">
    <w:abstractNumId w:val="4"/>
  </w:num>
  <w:num w:numId="8">
    <w:abstractNumId w:val="7"/>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5"/>
  <w:doNotDisplayPageBoundaries w:val="1"/>
  <w:embedSystemFonts/>
  <w:bordersDoNotSurroundHeader w:val="1"/>
  <w:bordersDoNotSurroundFooter w:val="1"/>
  <w:documentProtection w:enforcement="0"/>
  <w:defaultTabStop w:val="420"/>
  <w:drawingGridHorizontalSpacing w:val="120"/>
  <w:drawingGridVerticalSpacing w:val="163"/>
  <w:displayHorizontalDrawingGridEvery w:val="2"/>
  <w:displayVerticalDrawingGridEvery w:val="2"/>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211C7B89"/>
    <w:rsid w:val="000003AB"/>
    <w:rsid w:val="00013DBF"/>
    <w:rsid w:val="00035E48"/>
    <w:rsid w:val="0004216B"/>
    <w:rsid w:val="00060EC8"/>
    <w:rsid w:val="00067516"/>
    <w:rsid w:val="00073EBC"/>
    <w:rsid w:val="00077662"/>
    <w:rsid w:val="000A2FFF"/>
    <w:rsid w:val="000A350C"/>
    <w:rsid w:val="000B6CC4"/>
    <w:rsid w:val="000D3A27"/>
    <w:rsid w:val="000E6056"/>
    <w:rsid w:val="00101751"/>
    <w:rsid w:val="00115948"/>
    <w:rsid w:val="0014003F"/>
    <w:rsid w:val="00143B19"/>
    <w:rsid w:val="0015247A"/>
    <w:rsid w:val="001603DC"/>
    <w:rsid w:val="001672EC"/>
    <w:rsid w:val="00175E56"/>
    <w:rsid w:val="0018274A"/>
    <w:rsid w:val="001A3C82"/>
    <w:rsid w:val="001B4322"/>
    <w:rsid w:val="001C4726"/>
    <w:rsid w:val="001C7130"/>
    <w:rsid w:val="001E5DE7"/>
    <w:rsid w:val="001F6B27"/>
    <w:rsid w:val="002218BD"/>
    <w:rsid w:val="002304C4"/>
    <w:rsid w:val="002412B4"/>
    <w:rsid w:val="00255415"/>
    <w:rsid w:val="00260CF1"/>
    <w:rsid w:val="002618EC"/>
    <w:rsid w:val="0027046A"/>
    <w:rsid w:val="002739B5"/>
    <w:rsid w:val="00281F18"/>
    <w:rsid w:val="002847D8"/>
    <w:rsid w:val="002850AE"/>
    <w:rsid w:val="002A2006"/>
    <w:rsid w:val="002B2665"/>
    <w:rsid w:val="002B4CD3"/>
    <w:rsid w:val="002D50C3"/>
    <w:rsid w:val="002D5887"/>
    <w:rsid w:val="002E17E3"/>
    <w:rsid w:val="00304010"/>
    <w:rsid w:val="00322681"/>
    <w:rsid w:val="00325F5C"/>
    <w:rsid w:val="0033104E"/>
    <w:rsid w:val="0034380C"/>
    <w:rsid w:val="00353592"/>
    <w:rsid w:val="00366BE3"/>
    <w:rsid w:val="0037031C"/>
    <w:rsid w:val="003859D9"/>
    <w:rsid w:val="00390C8B"/>
    <w:rsid w:val="003A53C1"/>
    <w:rsid w:val="003B0D36"/>
    <w:rsid w:val="003B39A2"/>
    <w:rsid w:val="003D279B"/>
    <w:rsid w:val="003D2872"/>
    <w:rsid w:val="00400C37"/>
    <w:rsid w:val="004016A4"/>
    <w:rsid w:val="00421F9D"/>
    <w:rsid w:val="00434AFF"/>
    <w:rsid w:val="00435888"/>
    <w:rsid w:val="004365DE"/>
    <w:rsid w:val="004414D2"/>
    <w:rsid w:val="00442785"/>
    <w:rsid w:val="00443749"/>
    <w:rsid w:val="004535A9"/>
    <w:rsid w:val="00461AF9"/>
    <w:rsid w:val="00463D9F"/>
    <w:rsid w:val="00464C54"/>
    <w:rsid w:val="00467DF4"/>
    <w:rsid w:val="00474934"/>
    <w:rsid w:val="00475CB6"/>
    <w:rsid w:val="00476B9E"/>
    <w:rsid w:val="004776F1"/>
    <w:rsid w:val="00492872"/>
    <w:rsid w:val="00496804"/>
    <w:rsid w:val="00497E2B"/>
    <w:rsid w:val="004A00E3"/>
    <w:rsid w:val="004A19B6"/>
    <w:rsid w:val="004B4BDA"/>
    <w:rsid w:val="004C502C"/>
    <w:rsid w:val="004C7B1A"/>
    <w:rsid w:val="004D6DA8"/>
    <w:rsid w:val="004E2823"/>
    <w:rsid w:val="00504AC7"/>
    <w:rsid w:val="00505BD2"/>
    <w:rsid w:val="00507DF1"/>
    <w:rsid w:val="00514B73"/>
    <w:rsid w:val="00517621"/>
    <w:rsid w:val="00554C23"/>
    <w:rsid w:val="00557E9B"/>
    <w:rsid w:val="00565EB5"/>
    <w:rsid w:val="00591192"/>
    <w:rsid w:val="005A0127"/>
    <w:rsid w:val="005C4E67"/>
    <w:rsid w:val="005C5DB9"/>
    <w:rsid w:val="005D1B8D"/>
    <w:rsid w:val="005F4AAB"/>
    <w:rsid w:val="00625142"/>
    <w:rsid w:val="00627C7E"/>
    <w:rsid w:val="00630771"/>
    <w:rsid w:val="006409B9"/>
    <w:rsid w:val="006451A1"/>
    <w:rsid w:val="00657368"/>
    <w:rsid w:val="00673A8E"/>
    <w:rsid w:val="0067548E"/>
    <w:rsid w:val="00683257"/>
    <w:rsid w:val="00692055"/>
    <w:rsid w:val="00693178"/>
    <w:rsid w:val="006A07E6"/>
    <w:rsid w:val="006A49ED"/>
    <w:rsid w:val="006A69F9"/>
    <w:rsid w:val="006B2EF7"/>
    <w:rsid w:val="006E0327"/>
    <w:rsid w:val="006F23EE"/>
    <w:rsid w:val="00701263"/>
    <w:rsid w:val="0070306C"/>
    <w:rsid w:val="007075A0"/>
    <w:rsid w:val="00723976"/>
    <w:rsid w:val="00730E5B"/>
    <w:rsid w:val="00741500"/>
    <w:rsid w:val="0074169E"/>
    <w:rsid w:val="007534F4"/>
    <w:rsid w:val="00754FA0"/>
    <w:rsid w:val="00756295"/>
    <w:rsid w:val="007815D8"/>
    <w:rsid w:val="007824FB"/>
    <w:rsid w:val="007A461A"/>
    <w:rsid w:val="007C169B"/>
    <w:rsid w:val="007C28CE"/>
    <w:rsid w:val="007C292E"/>
    <w:rsid w:val="007F76DE"/>
    <w:rsid w:val="00802EF9"/>
    <w:rsid w:val="0080300D"/>
    <w:rsid w:val="00812B19"/>
    <w:rsid w:val="00850DEE"/>
    <w:rsid w:val="00851A16"/>
    <w:rsid w:val="008548D9"/>
    <w:rsid w:val="008648C0"/>
    <w:rsid w:val="00867163"/>
    <w:rsid w:val="00875ACE"/>
    <w:rsid w:val="0087638E"/>
    <w:rsid w:val="008825D4"/>
    <w:rsid w:val="00886800"/>
    <w:rsid w:val="008B123E"/>
    <w:rsid w:val="008B1D95"/>
    <w:rsid w:val="008B207C"/>
    <w:rsid w:val="008B621B"/>
    <w:rsid w:val="008C20EC"/>
    <w:rsid w:val="008C5244"/>
    <w:rsid w:val="008C6362"/>
    <w:rsid w:val="008D2C46"/>
    <w:rsid w:val="009124E4"/>
    <w:rsid w:val="00912676"/>
    <w:rsid w:val="009172A7"/>
    <w:rsid w:val="0092419E"/>
    <w:rsid w:val="009246E9"/>
    <w:rsid w:val="00925246"/>
    <w:rsid w:val="009359A2"/>
    <w:rsid w:val="00942B82"/>
    <w:rsid w:val="00964B06"/>
    <w:rsid w:val="00971963"/>
    <w:rsid w:val="0097695E"/>
    <w:rsid w:val="00984C56"/>
    <w:rsid w:val="00991133"/>
    <w:rsid w:val="0099214E"/>
    <w:rsid w:val="00996449"/>
    <w:rsid w:val="009B105A"/>
    <w:rsid w:val="009B4A92"/>
    <w:rsid w:val="009C0B25"/>
    <w:rsid w:val="009C1FE2"/>
    <w:rsid w:val="009E27F7"/>
    <w:rsid w:val="009E35A0"/>
    <w:rsid w:val="009E4BFA"/>
    <w:rsid w:val="009F5E68"/>
    <w:rsid w:val="00A1484A"/>
    <w:rsid w:val="00A26891"/>
    <w:rsid w:val="00A45B9A"/>
    <w:rsid w:val="00A45E56"/>
    <w:rsid w:val="00A568C4"/>
    <w:rsid w:val="00A577E9"/>
    <w:rsid w:val="00A57FE9"/>
    <w:rsid w:val="00A67AF5"/>
    <w:rsid w:val="00A86C33"/>
    <w:rsid w:val="00A903B3"/>
    <w:rsid w:val="00A920B1"/>
    <w:rsid w:val="00A94424"/>
    <w:rsid w:val="00AB218D"/>
    <w:rsid w:val="00AB6726"/>
    <w:rsid w:val="00AC1B8B"/>
    <w:rsid w:val="00AC5187"/>
    <w:rsid w:val="00AD0B59"/>
    <w:rsid w:val="00AD7579"/>
    <w:rsid w:val="00AE2B35"/>
    <w:rsid w:val="00AF4A51"/>
    <w:rsid w:val="00AF67E1"/>
    <w:rsid w:val="00B0212B"/>
    <w:rsid w:val="00B1017D"/>
    <w:rsid w:val="00B265AC"/>
    <w:rsid w:val="00B26F54"/>
    <w:rsid w:val="00B6017B"/>
    <w:rsid w:val="00B61B23"/>
    <w:rsid w:val="00B626FB"/>
    <w:rsid w:val="00B64263"/>
    <w:rsid w:val="00B70EF9"/>
    <w:rsid w:val="00B761A1"/>
    <w:rsid w:val="00BA526A"/>
    <w:rsid w:val="00BB03B0"/>
    <w:rsid w:val="00BB0643"/>
    <w:rsid w:val="00BB2194"/>
    <w:rsid w:val="00BC2882"/>
    <w:rsid w:val="00BC32B3"/>
    <w:rsid w:val="00BD5C16"/>
    <w:rsid w:val="00BD7EF1"/>
    <w:rsid w:val="00BE767C"/>
    <w:rsid w:val="00BF173D"/>
    <w:rsid w:val="00BF392D"/>
    <w:rsid w:val="00C02D84"/>
    <w:rsid w:val="00C043E9"/>
    <w:rsid w:val="00C0798C"/>
    <w:rsid w:val="00C4638E"/>
    <w:rsid w:val="00C5061B"/>
    <w:rsid w:val="00C50D3B"/>
    <w:rsid w:val="00C60A01"/>
    <w:rsid w:val="00C8355E"/>
    <w:rsid w:val="00C91943"/>
    <w:rsid w:val="00CC216F"/>
    <w:rsid w:val="00CD13F0"/>
    <w:rsid w:val="00CD2312"/>
    <w:rsid w:val="00CE36DF"/>
    <w:rsid w:val="00CE761E"/>
    <w:rsid w:val="00CF2C38"/>
    <w:rsid w:val="00D0068E"/>
    <w:rsid w:val="00D05393"/>
    <w:rsid w:val="00D10FD2"/>
    <w:rsid w:val="00D13D52"/>
    <w:rsid w:val="00D14C2D"/>
    <w:rsid w:val="00D21AF7"/>
    <w:rsid w:val="00D34BCD"/>
    <w:rsid w:val="00D40BD6"/>
    <w:rsid w:val="00D42D69"/>
    <w:rsid w:val="00D43E1B"/>
    <w:rsid w:val="00D82B96"/>
    <w:rsid w:val="00D910A4"/>
    <w:rsid w:val="00DC073E"/>
    <w:rsid w:val="00DC213D"/>
    <w:rsid w:val="00DE2E45"/>
    <w:rsid w:val="00DE7385"/>
    <w:rsid w:val="00E260F3"/>
    <w:rsid w:val="00E40CD3"/>
    <w:rsid w:val="00E561AA"/>
    <w:rsid w:val="00E56BDC"/>
    <w:rsid w:val="00E57188"/>
    <w:rsid w:val="00E62B37"/>
    <w:rsid w:val="00E63D14"/>
    <w:rsid w:val="00E85C3D"/>
    <w:rsid w:val="00E9563E"/>
    <w:rsid w:val="00E95A58"/>
    <w:rsid w:val="00E97448"/>
    <w:rsid w:val="00EA34CF"/>
    <w:rsid w:val="00ED2116"/>
    <w:rsid w:val="00F13A5B"/>
    <w:rsid w:val="00F22931"/>
    <w:rsid w:val="00F25185"/>
    <w:rsid w:val="00F30A43"/>
    <w:rsid w:val="00F33DE0"/>
    <w:rsid w:val="00F35F4F"/>
    <w:rsid w:val="00F365C9"/>
    <w:rsid w:val="00F42C9E"/>
    <w:rsid w:val="00F45DCA"/>
    <w:rsid w:val="00F50AB4"/>
    <w:rsid w:val="00F557C8"/>
    <w:rsid w:val="00F61285"/>
    <w:rsid w:val="00F65291"/>
    <w:rsid w:val="00F87FFC"/>
    <w:rsid w:val="00FA5E8F"/>
    <w:rsid w:val="00FA5EBD"/>
    <w:rsid w:val="00FD5FE6"/>
    <w:rsid w:val="00FD791C"/>
    <w:rsid w:val="00FE1EE4"/>
    <w:rsid w:val="00FE63A6"/>
    <w:rsid w:val="045D3795"/>
    <w:rsid w:val="04A148B3"/>
    <w:rsid w:val="0AC43EE7"/>
    <w:rsid w:val="211C7B89"/>
    <w:rsid w:val="31B111EB"/>
    <w:rsid w:val="5FFB19BB"/>
    <w:rsid w:val="76AF7CCB"/>
    <w:rsid w:val="8FFE19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iPriority="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Theme="minorEastAsia" w:cstheme="minorBidi"/>
      <w:kern w:val="2"/>
      <w:sz w:val="24"/>
      <w:szCs w:val="24"/>
      <w:lang w:val="en-US" w:eastAsia="zh-CN" w:bidi="ar-SA"/>
    </w:rPr>
  </w:style>
  <w:style w:type="paragraph" w:styleId="2">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Malgun Gothic"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lang w:eastAsia="zh-CN"/>
    </w:rPr>
  </w:style>
  <w:style w:type="paragraph" w:styleId="4">
    <w:name w:val="heading 3"/>
    <w:basedOn w:val="3"/>
    <w:next w:val="1"/>
    <w:qFormat/>
    <w:uiPriority w:val="0"/>
    <w:pPr>
      <w:spacing w:before="120"/>
      <w:outlineLvl w:val="2"/>
    </w:pPr>
    <w:rPr>
      <w:sz w:val="28"/>
    </w:rPr>
  </w:style>
  <w:style w:type="character" w:default="1" w:styleId="14">
    <w:name w:val="Default Paragraph Font"/>
    <w:semiHidden/>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5">
    <w:name w:val="caption"/>
    <w:basedOn w:val="1"/>
    <w:next w:val="1"/>
    <w:unhideWhenUsed/>
    <w:qFormat/>
    <w:uiPriority w:val="35"/>
    <w:rPr>
      <w:rFonts w:eastAsia="宋体" w:cstheme="majorBidi"/>
      <w:sz w:val="20"/>
      <w:szCs w:val="20"/>
    </w:rPr>
  </w:style>
  <w:style w:type="paragraph" w:styleId="6">
    <w:name w:val="annotation text"/>
    <w:basedOn w:val="1"/>
    <w:link w:val="20"/>
    <w:uiPriority w:val="0"/>
    <w:pPr>
      <w:jc w:val="left"/>
    </w:pPr>
  </w:style>
  <w:style w:type="paragraph" w:styleId="7">
    <w:name w:val="Date"/>
    <w:basedOn w:val="1"/>
    <w:next w:val="1"/>
    <w:link w:val="24"/>
    <w:uiPriority w:val="0"/>
    <w:pPr>
      <w:ind w:left="100" w:leftChars="2500"/>
    </w:pPr>
  </w:style>
  <w:style w:type="paragraph" w:styleId="8">
    <w:name w:val="Balloon Text"/>
    <w:basedOn w:val="1"/>
    <w:link w:val="21"/>
    <w:uiPriority w:val="0"/>
    <w:rPr>
      <w:sz w:val="18"/>
      <w:szCs w:val="18"/>
    </w:rPr>
  </w:style>
  <w:style w:type="paragraph" w:styleId="9">
    <w:name w:val="footer"/>
    <w:basedOn w:val="1"/>
    <w:link w:val="19"/>
    <w:uiPriority w:val="0"/>
    <w:pPr>
      <w:tabs>
        <w:tab w:val="center" w:pos="4153"/>
        <w:tab w:val="right" w:pos="8306"/>
      </w:tabs>
      <w:snapToGrid w:val="0"/>
      <w:jc w:val="left"/>
    </w:pPr>
    <w:rPr>
      <w:sz w:val="18"/>
      <w:szCs w:val="18"/>
    </w:rPr>
  </w:style>
  <w:style w:type="paragraph" w:styleId="10">
    <w:name w:val="header"/>
    <w:basedOn w:val="1"/>
    <w:link w:val="18"/>
    <w:uiPriority w:val="0"/>
    <w:pPr>
      <w:pBdr>
        <w:bottom w:val="single" w:color="auto" w:sz="6" w:space="1"/>
      </w:pBdr>
      <w:tabs>
        <w:tab w:val="center" w:pos="4153"/>
        <w:tab w:val="right" w:pos="8306"/>
      </w:tabs>
      <w:snapToGrid w:val="0"/>
      <w:jc w:val="center"/>
    </w:pPr>
    <w:rPr>
      <w:sz w:val="18"/>
      <w:szCs w:val="18"/>
    </w:rPr>
  </w:style>
  <w:style w:type="paragraph" w:styleId="11">
    <w:name w:val="annotation subject"/>
    <w:basedOn w:val="6"/>
    <w:next w:val="6"/>
    <w:link w:val="23"/>
    <w:uiPriority w:val="0"/>
    <w:rPr>
      <w:b/>
      <w:bCs/>
    </w:rPr>
  </w:style>
  <w:style w:type="table" w:styleId="13">
    <w:name w:val="Table Grid"/>
    <w:basedOn w:val="12"/>
    <w:autoRedefine/>
    <w:qFormat/>
    <w:uiPriority w:val="39"/>
    <w:pPr>
      <w:widowControl w:val="0"/>
      <w:autoSpaceDE w:val="0"/>
      <w:autoSpaceDN w:val="0"/>
      <w:adjustRightInd w:val="0"/>
      <w:spacing w:line="36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Hyperlink"/>
    <w:basedOn w:val="14"/>
    <w:qFormat/>
    <w:uiPriority w:val="0"/>
    <w:rPr>
      <w:color w:val="0000FF"/>
      <w:u w:val="single"/>
    </w:rPr>
  </w:style>
  <w:style w:type="character" w:styleId="16">
    <w:name w:val="annotation reference"/>
    <w:autoRedefine/>
    <w:qFormat/>
    <w:uiPriority w:val="0"/>
    <w:rPr>
      <w:rFonts w:cs="Times New Roman"/>
      <w:sz w:val="16"/>
    </w:rPr>
  </w:style>
  <w:style w:type="paragraph" w:customStyle="1" w:styleId="17">
    <w:name w:val="CR Cover Page"/>
    <w:qFormat/>
    <w:uiPriority w:val="0"/>
    <w:pPr>
      <w:spacing w:after="120"/>
    </w:pPr>
    <w:rPr>
      <w:rFonts w:ascii="Arial" w:hAnsi="Arial" w:eastAsia="MS Mincho" w:cs="Times New Roman"/>
      <w:lang w:val="en-GB" w:eastAsia="en-US" w:bidi="ar-SA"/>
    </w:rPr>
  </w:style>
  <w:style w:type="character" w:customStyle="1" w:styleId="18">
    <w:name w:val="页眉 字符"/>
    <w:basedOn w:val="14"/>
    <w:link w:val="10"/>
    <w:uiPriority w:val="0"/>
    <w:rPr>
      <w:rFonts w:asciiTheme="minorHAnsi" w:hAnsiTheme="minorHAnsi" w:eastAsiaTheme="minorEastAsia" w:cstheme="minorBidi"/>
      <w:kern w:val="2"/>
      <w:sz w:val="18"/>
      <w:szCs w:val="18"/>
    </w:rPr>
  </w:style>
  <w:style w:type="character" w:customStyle="1" w:styleId="19">
    <w:name w:val="页脚 字符"/>
    <w:basedOn w:val="14"/>
    <w:link w:val="9"/>
    <w:uiPriority w:val="0"/>
    <w:rPr>
      <w:rFonts w:asciiTheme="minorHAnsi" w:hAnsiTheme="minorHAnsi" w:eastAsiaTheme="minorEastAsia" w:cstheme="minorBidi"/>
      <w:kern w:val="2"/>
      <w:sz w:val="18"/>
      <w:szCs w:val="18"/>
    </w:rPr>
  </w:style>
  <w:style w:type="character" w:customStyle="1" w:styleId="20">
    <w:name w:val="批注文字 字符"/>
    <w:basedOn w:val="14"/>
    <w:link w:val="6"/>
    <w:uiPriority w:val="0"/>
    <w:rPr>
      <w:rFonts w:asciiTheme="minorHAnsi" w:hAnsiTheme="minorHAnsi" w:eastAsiaTheme="minorEastAsia" w:cstheme="minorBidi"/>
      <w:kern w:val="2"/>
      <w:sz w:val="21"/>
      <w:szCs w:val="24"/>
    </w:rPr>
  </w:style>
  <w:style w:type="character" w:customStyle="1" w:styleId="21">
    <w:name w:val="批注框文本 字符"/>
    <w:basedOn w:val="14"/>
    <w:link w:val="8"/>
    <w:uiPriority w:val="0"/>
    <w:rPr>
      <w:rFonts w:asciiTheme="minorHAnsi" w:hAnsiTheme="minorHAnsi" w:eastAsiaTheme="minorEastAsia" w:cstheme="minorBidi"/>
      <w:kern w:val="2"/>
      <w:sz w:val="18"/>
      <w:szCs w:val="18"/>
    </w:rPr>
  </w:style>
  <w:style w:type="character" w:styleId="22">
    <w:name w:val="Placeholder Text"/>
    <w:basedOn w:val="14"/>
    <w:semiHidden/>
    <w:uiPriority w:val="99"/>
    <w:rPr>
      <w:color w:val="808080"/>
    </w:rPr>
  </w:style>
  <w:style w:type="character" w:customStyle="1" w:styleId="23">
    <w:name w:val="批注主题 字符"/>
    <w:basedOn w:val="20"/>
    <w:link w:val="11"/>
    <w:uiPriority w:val="0"/>
    <w:rPr>
      <w:rFonts w:asciiTheme="minorHAnsi" w:hAnsiTheme="minorHAnsi" w:eastAsiaTheme="minorEastAsia" w:cstheme="minorBidi"/>
      <w:b/>
      <w:bCs/>
      <w:kern w:val="2"/>
      <w:sz w:val="21"/>
      <w:szCs w:val="24"/>
    </w:rPr>
  </w:style>
  <w:style w:type="character" w:customStyle="1" w:styleId="24">
    <w:name w:val="日期 字符"/>
    <w:basedOn w:val="14"/>
    <w:link w:val="7"/>
    <w:uiPriority w:val="0"/>
    <w:rPr>
      <w:rFonts w:asciiTheme="minorHAnsi" w:hAnsiTheme="minorHAnsi" w:eastAsiaTheme="minorEastAsia" w:cstheme="minorBidi"/>
      <w:kern w:val="2"/>
      <w:sz w:val="21"/>
      <w:szCs w:val="24"/>
    </w:rPr>
  </w:style>
  <w:style w:type="paragraph" w:styleId="25">
    <w:name w:val="List Paragraph"/>
    <w:basedOn w:val="1"/>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emf"/><Relationship Id="rId8" Type="http://schemas.openxmlformats.org/officeDocument/2006/relationships/image" Target="media/image5.emf"/><Relationship Id="rId7" Type="http://schemas.openxmlformats.org/officeDocument/2006/relationships/image" Target="media/image4.emf"/><Relationship Id="rId6" Type="http://schemas.openxmlformats.org/officeDocument/2006/relationships/image" Target="media/image3.emf"/><Relationship Id="rId5" Type="http://schemas.openxmlformats.org/officeDocument/2006/relationships/image" Target="media/image2.emf"/><Relationship Id="rId4" Type="http://schemas.openxmlformats.org/officeDocument/2006/relationships/image" Target="media/image1.pn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image" Target="media/image21.emf"/><Relationship Id="rId23" Type="http://schemas.openxmlformats.org/officeDocument/2006/relationships/image" Target="media/image20.emf"/><Relationship Id="rId22" Type="http://schemas.openxmlformats.org/officeDocument/2006/relationships/image" Target="media/image19.emf"/><Relationship Id="rId21" Type="http://schemas.openxmlformats.org/officeDocument/2006/relationships/image" Target="media/image18.emf"/><Relationship Id="rId20" Type="http://schemas.openxmlformats.org/officeDocument/2006/relationships/image" Target="media/image17.emf"/><Relationship Id="rId2" Type="http://schemas.openxmlformats.org/officeDocument/2006/relationships/settings" Target="settings.xml"/><Relationship Id="rId19" Type="http://schemas.openxmlformats.org/officeDocument/2006/relationships/image" Target="media/image16.emf"/><Relationship Id="rId18" Type="http://schemas.openxmlformats.org/officeDocument/2006/relationships/image" Target="media/image15.emf"/><Relationship Id="rId17" Type="http://schemas.openxmlformats.org/officeDocument/2006/relationships/image" Target="media/image14.emf"/><Relationship Id="rId16" Type="http://schemas.openxmlformats.org/officeDocument/2006/relationships/image" Target="media/image13.emf"/><Relationship Id="rId15" Type="http://schemas.openxmlformats.org/officeDocument/2006/relationships/image" Target="media/image12.emf"/><Relationship Id="rId14" Type="http://schemas.openxmlformats.org/officeDocument/2006/relationships/image" Target="media/image11.emf"/><Relationship Id="rId13" Type="http://schemas.openxmlformats.org/officeDocument/2006/relationships/image" Target="media/image10.emf"/><Relationship Id="rId12" Type="http://schemas.openxmlformats.org/officeDocument/2006/relationships/image" Target="media/image9.emf"/><Relationship Id="rId11" Type="http://schemas.openxmlformats.org/officeDocument/2006/relationships/image" Target="media/image8.emf"/><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11</Pages>
  <Words>2806</Words>
  <Characters>15996</Characters>
  <Lines>133</Lines>
  <Paragraphs>37</Paragraphs>
  <TotalTime>101</TotalTime>
  <ScaleCrop>false</ScaleCrop>
  <LinksUpToDate>false</LinksUpToDate>
  <CharactersWithSpaces>18765</CharactersWithSpaces>
  <Application>WPS Office_6.11.0.8885_F1E327BC-269C-435d-A152-05C5408002CA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2024-09-29T20:03:00Z</dcterms:created>
  <dc:creator>杨润若</dc:creator>
  <cp:lastModifiedBy>晨</cp:lastModifiedBy>
  <dcterms:modified xsi:type="dcterms:W3CDTF">2024-10-02T20:16:29Z</dcterms:modified>
  <cp:revision>50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2052-6.11.0.8885</vt:lpwstr>
  </property>
  <property fmtid="{D5CDD505-2E9C-101B-9397-08002B2CF9AE}" pid="3" name="ICV">
    <vt:lpwstr>7D2FDF1EABF882D39D39FD66E478FFD8_43</vt:lpwstr>
  </property>
  <property fmtid="{D5CDD505-2E9C-101B-9397-08002B2CF9AE}" pid="4" name="GrammarlyDocumentId">
    <vt:lpwstr>c006bb9e78a245e73ea2cc1d2b160adcfab05374f1d6bbb5430ba3ffe536b73d</vt:lpwstr>
  </property>
  <property fmtid="{D5CDD505-2E9C-101B-9397-08002B2CF9AE}" pid="5" name="MTWinEqns">
    <vt:bool>true</vt:bool>
  </property>
</Properties>
</file>